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6CF3" w14:textId="1C70CD95" w:rsidR="00432E43" w:rsidRDefault="00432E43"/>
    <w:p w14:paraId="4EA9739A" w14:textId="63F1C0D0" w:rsidR="00432E43" w:rsidRPr="00692AE2" w:rsidRDefault="00000000">
      <w:pPr>
        <w:pStyle w:val="TBal"/>
        <w:rPr>
          <w:rFonts w:ascii="Verdana" w:hAnsi="Verdana"/>
          <w:color w:val="auto"/>
          <w:sz w:val="24"/>
          <w:szCs w:val="24"/>
        </w:rPr>
      </w:pPr>
      <w:r w:rsidRPr="00692AE2">
        <w:rPr>
          <w:rFonts w:ascii="Verdana" w:hAnsi="Verdana"/>
          <w:color w:val="auto"/>
          <w:sz w:val="24"/>
          <w:szCs w:val="24"/>
        </w:rPr>
        <w:t xml:space="preserve">Tabla de </w:t>
      </w:r>
      <w:proofErr w:type="spellStart"/>
      <w:r w:rsidRPr="00692AE2">
        <w:rPr>
          <w:rFonts w:ascii="Verdana" w:hAnsi="Verdana"/>
          <w:color w:val="auto"/>
          <w:sz w:val="24"/>
          <w:szCs w:val="24"/>
        </w:rPr>
        <w:t>contenido</w:t>
      </w:r>
      <w:proofErr w:type="spellEnd"/>
    </w:p>
    <w:sdt>
      <w:sdtPr>
        <w:id w:val="-831988681"/>
        <w:docPartObj>
          <w:docPartGallery w:val="Table of Contents"/>
          <w:docPartUnique/>
        </w:docPartObj>
      </w:sdtPr>
      <w:sdtContent>
        <w:p w14:paraId="55C4C62B" w14:textId="77777777" w:rsidR="00432E43" w:rsidRDefault="00000000">
          <w:pPr>
            <w:pStyle w:val="T1"/>
            <w:tabs>
              <w:tab w:val="right" w:leader="dot" w:pos="9496"/>
            </w:tabs>
          </w:pPr>
          <w:r>
            <w:fldChar w:fldCharType="begin"/>
          </w:r>
          <w:r>
            <w:rPr>
              <w:rStyle w:val="IndexLink"/>
            </w:rPr>
            <w:instrText>TOC \o "1-3" \h \z \u</w:instrText>
          </w:r>
          <w:r>
            <w:rPr>
              <w:rStyle w:val="IndexLink"/>
            </w:rPr>
            <w:fldChar w:fldCharType="separate"/>
          </w:r>
          <w:hyperlink w:anchor="__RefHeading___Toc12375323">
            <w:r>
              <w:rPr>
                <w:rStyle w:val="IndexLink"/>
              </w:rPr>
              <w:t>1. Propósito</w:t>
            </w:r>
            <w:r>
              <w:rPr>
                <w:rStyle w:val="IndexLink"/>
              </w:rPr>
              <w:tab/>
              <w:t>uno</w:t>
            </w:r>
          </w:hyperlink>
        </w:p>
        <w:p w14:paraId="78F336AF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24">
            <w:r>
              <w:rPr>
                <w:rStyle w:val="IndexLink"/>
              </w:rPr>
              <w:t>2. Alcance</w:t>
            </w:r>
            <w:r>
              <w:rPr>
                <w:rStyle w:val="IndexLink"/>
              </w:rPr>
              <w:tab/>
              <w:t>uno</w:t>
            </w:r>
          </w:hyperlink>
        </w:p>
        <w:p w14:paraId="2585DA53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25">
            <w:r>
              <w:rPr>
                <w:rStyle w:val="IndexLink"/>
              </w:rPr>
              <w:t>3 Referencias</w:t>
            </w:r>
            <w:r>
              <w:rPr>
                <w:rStyle w:val="IndexLink"/>
              </w:rPr>
              <w:tab/>
              <w:t>uno</w:t>
            </w:r>
          </w:hyperlink>
        </w:p>
        <w:p w14:paraId="1B157AA5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26">
            <w:r>
              <w:rPr>
                <w:rStyle w:val="IndexLink"/>
              </w:rPr>
              <w:t>4 Definiciones y abreviaturas</w:t>
            </w:r>
            <w:r>
              <w:rPr>
                <w:rStyle w:val="IndexLink"/>
              </w:rPr>
              <w:tab/>
              <w:t>uno</w:t>
            </w:r>
          </w:hyperlink>
        </w:p>
        <w:p w14:paraId="220ED346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27">
            <w:r>
              <w:rPr>
                <w:rStyle w:val="IndexLink"/>
              </w:rPr>
              <w:t>5 Responsabilidades y Personal</w:t>
            </w:r>
            <w:r>
              <w:rPr>
                <w:rStyle w:val="IndexLink"/>
              </w:rPr>
              <w:tab/>
              <w:t>2</w:t>
            </w:r>
          </w:hyperlink>
        </w:p>
        <w:p w14:paraId="2DCBFB46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28">
            <w:r>
              <w:rPr>
                <w:rStyle w:val="IndexLink"/>
              </w:rPr>
              <w:t>5.1 Ejecución del procedimiento</w:t>
            </w:r>
            <w:r>
              <w:rPr>
                <w:rStyle w:val="IndexLink"/>
              </w:rPr>
              <w:tab/>
              <w:t>2</w:t>
            </w:r>
          </w:hyperlink>
        </w:p>
        <w:p w14:paraId="057373EA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29">
            <w:r>
              <w:rPr>
                <w:rStyle w:val="IndexLink"/>
              </w:rPr>
              <w:t>5.2 Usuarios del procedimiento</w:t>
            </w:r>
            <w:r>
              <w:rPr>
                <w:rStyle w:val="IndexLink"/>
              </w:rPr>
              <w:tab/>
              <w:t>2</w:t>
            </w:r>
          </w:hyperlink>
        </w:p>
        <w:p w14:paraId="3932966C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30">
            <w:r>
              <w:rPr>
                <w:rStyle w:val="IndexLink"/>
              </w:rPr>
              <w:t>6 Procedimiento</w:t>
            </w:r>
            <w:r>
              <w:rPr>
                <w:rStyle w:val="IndexLink"/>
              </w:rPr>
              <w:tab/>
              <w:t>2</w:t>
            </w:r>
          </w:hyperlink>
        </w:p>
        <w:p w14:paraId="64C192D6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31">
            <w:r>
              <w:rPr>
                <w:rStyle w:val="IndexLink"/>
              </w:rPr>
              <w:t>6.1 Generalidades</w:t>
            </w:r>
            <w:r>
              <w:rPr>
                <w:rStyle w:val="IndexLink"/>
              </w:rPr>
              <w:tab/>
              <w:t>2</w:t>
            </w:r>
          </w:hyperlink>
        </w:p>
        <w:p w14:paraId="712B0144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32">
            <w:r>
              <w:rPr>
                <w:rStyle w:val="IndexLink"/>
              </w:rPr>
              <w:t>6.2 Evaluación de Quejas</w:t>
            </w:r>
            <w:r>
              <w:rPr>
                <w:rStyle w:val="IndexLink"/>
              </w:rPr>
              <w:tab/>
              <w:t>3</w:t>
            </w:r>
          </w:hyperlink>
        </w:p>
        <w:p w14:paraId="19DC92A1" w14:textId="77777777" w:rsidR="00432E43" w:rsidRDefault="00000000">
          <w:pPr>
            <w:pStyle w:val="T3"/>
            <w:tabs>
              <w:tab w:val="right" w:leader="dot" w:pos="9496"/>
            </w:tabs>
          </w:pPr>
          <w:hyperlink w:anchor="__RefHeading___Toc12375333">
            <w:r>
              <w:rPr>
                <w:rStyle w:val="IndexLink"/>
              </w:rPr>
              <w:t>6.2.1 Recepción y procesamiento de la Solicitud</w:t>
            </w:r>
            <w:r>
              <w:rPr>
                <w:rStyle w:val="IndexLink"/>
              </w:rPr>
              <w:tab/>
              <w:t>3</w:t>
            </w:r>
          </w:hyperlink>
        </w:p>
        <w:p w14:paraId="3DF1E6F5" w14:textId="77777777" w:rsidR="00432E43" w:rsidRDefault="00000000">
          <w:pPr>
            <w:pStyle w:val="T3"/>
            <w:tabs>
              <w:tab w:val="right" w:leader="dot" w:pos="9496"/>
            </w:tabs>
          </w:pPr>
          <w:hyperlink w:anchor="__RefHeading___Toc12375334">
            <w:r>
              <w:rPr>
                <w:rStyle w:val="IndexLink"/>
              </w:rPr>
              <w:t>6.2.2 Evaluación y conclusión de solicitudes</w:t>
            </w:r>
            <w:r>
              <w:rPr>
                <w:rStyle w:val="IndexLink"/>
              </w:rPr>
              <w:tab/>
              <w:t>4</w:t>
            </w:r>
          </w:hyperlink>
        </w:p>
        <w:p w14:paraId="04360EE3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35">
            <w:r>
              <w:rPr>
                <w:rStyle w:val="IndexLink"/>
              </w:rPr>
              <w:t>6.3 Evaluación de Objeciones</w:t>
            </w:r>
            <w:r>
              <w:rPr>
                <w:rStyle w:val="IndexLink"/>
              </w:rPr>
              <w:tab/>
              <w:t>6</w:t>
            </w:r>
          </w:hyperlink>
        </w:p>
        <w:p w14:paraId="28E5D1B0" w14:textId="77777777" w:rsidR="00432E43" w:rsidRDefault="00000000">
          <w:pPr>
            <w:pStyle w:val="T3"/>
            <w:tabs>
              <w:tab w:val="right" w:leader="dot" w:pos="9496"/>
            </w:tabs>
          </w:pPr>
          <w:hyperlink w:anchor="__RefHeading___Toc12375336">
            <w:r>
              <w:rPr>
                <w:rStyle w:val="IndexLink"/>
              </w:rPr>
              <w:t>6.3.1 Recepción y procesamiento de la Solicitud</w:t>
            </w:r>
            <w:r>
              <w:rPr>
                <w:rStyle w:val="IndexLink"/>
              </w:rPr>
              <w:tab/>
              <w:t>6</w:t>
            </w:r>
          </w:hyperlink>
        </w:p>
        <w:p w14:paraId="13AA21C2" w14:textId="77777777" w:rsidR="00432E43" w:rsidRDefault="00000000">
          <w:pPr>
            <w:pStyle w:val="T3"/>
            <w:tabs>
              <w:tab w:val="right" w:leader="dot" w:pos="9496"/>
            </w:tabs>
          </w:pPr>
          <w:hyperlink w:anchor="__RefHeading___Toc12375337">
            <w:r>
              <w:rPr>
                <w:rStyle w:val="IndexLink"/>
              </w:rPr>
              <w:t>6.3.2 Evaluación y conclusión de solicitudes</w:t>
            </w:r>
            <w:r>
              <w:rPr>
                <w:rStyle w:val="IndexLink"/>
              </w:rPr>
              <w:tab/>
              <w:t>7</w:t>
            </w:r>
          </w:hyperlink>
        </w:p>
        <w:p w14:paraId="00DDDAA2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38">
            <w:r>
              <w:rPr>
                <w:rStyle w:val="IndexLink"/>
              </w:rPr>
              <w:t>6.4 Prevención de la repetición de quejas/objeciones</w:t>
            </w:r>
            <w:r>
              <w:rPr>
                <w:rStyle w:val="IndexLink"/>
              </w:rPr>
              <w:tab/>
              <w:t>8</w:t>
            </w:r>
          </w:hyperlink>
        </w:p>
        <w:p w14:paraId="5A193372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41_1866489901">
            <w:r>
              <w:rPr>
                <w:rStyle w:val="IndexLink"/>
              </w:rPr>
              <w:t>7 De acuerdo con el Procedimiento de Acciones Correctivas y Preventivas S-0.06, se inician acciones correctivas y preventivas y se previene la repetición de la queja/objeción.</w:t>
            </w:r>
            <w:r>
              <w:rPr>
                <w:rStyle w:val="IndexLink"/>
              </w:rPr>
              <w:tab/>
              <w:t>8</w:t>
            </w:r>
          </w:hyperlink>
        </w:p>
        <w:p w14:paraId="13D777E8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40">
            <w:r>
              <w:rPr>
                <w:rStyle w:val="IndexLink"/>
              </w:rPr>
              <w:t>7.1 Acuerdo con el Cliente</w:t>
            </w:r>
            <w:r>
              <w:rPr>
                <w:rStyle w:val="IndexLink"/>
              </w:rPr>
              <w:tab/>
              <w:t>8</w:t>
            </w:r>
          </w:hyperlink>
        </w:p>
        <w:p w14:paraId="4C1FB5E7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41">
            <w:r>
              <w:rPr>
                <w:rStyle w:val="IndexLink"/>
              </w:rPr>
              <w:t>7.2 Seguimiento y medición de la satisfacción del cliente</w:t>
            </w:r>
            <w:r>
              <w:rPr>
                <w:rStyle w:val="IndexLink"/>
              </w:rPr>
              <w:tab/>
              <w:t>8</w:t>
            </w:r>
          </w:hyperlink>
        </w:p>
        <w:p w14:paraId="779248B7" w14:textId="77777777" w:rsidR="00432E43" w:rsidRDefault="00000000">
          <w:pPr>
            <w:pStyle w:val="T2"/>
            <w:tabs>
              <w:tab w:val="right" w:leader="dot" w:pos="9496"/>
            </w:tabs>
          </w:pPr>
          <w:hyperlink w:anchor="__RefHeading___Toc12375346">
            <w:r>
              <w:rPr>
                <w:rStyle w:val="IndexLink"/>
              </w:rPr>
              <w:t>7.3 Privacidad</w:t>
            </w:r>
            <w:r>
              <w:rPr>
                <w:rStyle w:val="IndexLink"/>
              </w:rPr>
              <w:tab/>
              <w:t>9</w:t>
            </w:r>
          </w:hyperlink>
        </w:p>
        <w:p w14:paraId="41FC809A" w14:textId="77777777" w:rsidR="00432E43" w:rsidRDefault="00000000">
          <w:pPr>
            <w:pStyle w:val="T1"/>
            <w:tabs>
              <w:tab w:val="right" w:leader="dot" w:pos="9496"/>
            </w:tabs>
          </w:pPr>
          <w:hyperlink w:anchor="__RefHeading___Toc12375348">
            <w:r>
              <w:rPr>
                <w:rStyle w:val="IndexLink"/>
              </w:rPr>
              <w:t>8 Distribución – Registro y Seguimiento de Revisión</w:t>
            </w:r>
            <w:r>
              <w:rPr>
                <w:rStyle w:val="IndexLink"/>
              </w:rPr>
              <w:tab/>
              <w:t>9</w:t>
            </w:r>
          </w:hyperlink>
          <w:r>
            <w:rPr>
              <w:rStyle w:val="IndexLink"/>
            </w:rPr>
            <w:fldChar w:fldCharType="end"/>
          </w:r>
        </w:p>
      </w:sdtContent>
    </w:sdt>
    <w:p w14:paraId="0EDE71FC" w14:textId="77777777" w:rsidR="00432E43" w:rsidRDefault="00432E43">
      <w:pPr>
        <w:rPr>
          <w:rFonts w:ascii="Verdana" w:hAnsi="Verdana" w:cs="Verdana"/>
          <w:bCs/>
          <w:sz w:val="22"/>
          <w:szCs w:val="22"/>
          <w:lang w:val="tr-TR" w:eastAsia="en-US"/>
        </w:rPr>
      </w:pPr>
    </w:p>
    <w:p w14:paraId="06C78274" w14:textId="77777777" w:rsidR="00432E43" w:rsidRDefault="00432E43">
      <w:pPr>
        <w:pStyle w:val="GvdeMetni"/>
        <w:spacing w:before="120" w:line="240" w:lineRule="exact"/>
        <w:ind w:left="142"/>
        <w:rPr>
          <w:rFonts w:ascii="Verdana" w:hAnsi="Verdana" w:cs="Verdana"/>
          <w:b/>
          <w:sz w:val="20"/>
          <w:lang w:val="tr-TR"/>
        </w:rPr>
      </w:pPr>
    </w:p>
    <w:p w14:paraId="2EE44E92" w14:textId="77777777" w:rsidR="00432E43" w:rsidRDefault="00000000">
      <w:pPr>
        <w:pStyle w:val="Balk1"/>
      </w:pPr>
      <w:bookmarkStart w:id="0" w:name="__RefHeading___Toc12375323"/>
      <w:bookmarkEnd w:id="0"/>
      <w:proofErr w:type="spellStart"/>
      <w:r>
        <w:t>Apuntar</w:t>
      </w:r>
      <w:proofErr w:type="spellEnd"/>
    </w:p>
    <w:p w14:paraId="07A6F3E2" w14:textId="77777777" w:rsidR="00432E43" w:rsidRDefault="00000000">
      <w:pPr>
        <w:pStyle w:val="GvdeMetni"/>
        <w:ind w:left="142" w:right="-142"/>
        <w:jc w:val="both"/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objetivo</w:t>
      </w:r>
      <w:proofErr w:type="spellEnd"/>
      <w:r>
        <w:rPr>
          <w:rFonts w:ascii="Verdana" w:hAnsi="Verdana" w:cs="Verdana"/>
          <w:sz w:val="20"/>
          <w:lang w:val="tr-TR"/>
        </w:rPr>
        <w:t xml:space="preserve"> de este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asegurar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recibidas</w:t>
      </w:r>
      <w:proofErr w:type="spellEnd"/>
      <w:r>
        <w:rPr>
          <w:rFonts w:ascii="Verdana" w:hAnsi="Verdana" w:cs="Verdana"/>
          <w:sz w:val="20"/>
          <w:lang w:val="tr-TR"/>
        </w:rPr>
        <w:t xml:space="preserve"> por Selecta Global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respecto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 </w:t>
      </w:r>
      <w:proofErr w:type="spellStart"/>
      <w:r>
        <w:rPr>
          <w:rFonts w:ascii="Verdana" w:hAnsi="Verdana" w:cs="Verdana"/>
          <w:sz w:val="20"/>
          <w:lang w:val="tr-TR"/>
        </w:rPr>
        <w:t>sean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evaluadas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finalizadas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manera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rápida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efectiva</w:t>
      </w:r>
      <w:proofErr w:type="spellEnd"/>
      <w:r>
        <w:rPr>
          <w:rFonts w:ascii="Verdana" w:hAnsi="Verdana" w:cs="Verdana"/>
          <w:sz w:val="20"/>
          <w:lang w:val="tr-TR"/>
        </w:rPr>
        <w:t xml:space="preserve">, y </w:t>
      </w:r>
      <w:proofErr w:type="spellStart"/>
      <w:r>
        <w:rPr>
          <w:rFonts w:ascii="Verdana" w:hAnsi="Verdana" w:cs="Verdana"/>
          <w:sz w:val="20"/>
          <w:lang w:val="tr-TR"/>
        </w:rPr>
        <w:t>asegurar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satisfacción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mediante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definición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reglas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necesarias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la </w:t>
      </w:r>
      <w:proofErr w:type="spellStart"/>
      <w:r>
        <w:rPr>
          <w:rFonts w:ascii="Verdana" w:hAnsi="Verdana" w:cs="Verdana"/>
          <w:sz w:val="20"/>
          <w:lang w:val="tr-TR"/>
        </w:rPr>
        <w:t>medición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satisfacción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AE6EB76" w14:textId="77777777" w:rsidR="00432E43" w:rsidRDefault="00432E43">
      <w:pPr>
        <w:pStyle w:val="GvdeMetni"/>
        <w:spacing w:before="60" w:line="240" w:lineRule="exact"/>
        <w:ind w:left="272"/>
        <w:jc w:val="both"/>
        <w:rPr>
          <w:rFonts w:ascii="Verdana" w:hAnsi="Verdana" w:cs="Verdana"/>
          <w:sz w:val="20"/>
          <w:lang w:val="tr-TR"/>
        </w:rPr>
      </w:pPr>
    </w:p>
    <w:p w14:paraId="77E3D6D8" w14:textId="77777777" w:rsidR="00432E43" w:rsidRDefault="00000000">
      <w:pPr>
        <w:pStyle w:val="Balk1"/>
      </w:pPr>
      <w:bookmarkStart w:id="1" w:name="__RefHeading___Toc12375324"/>
      <w:bookmarkEnd w:id="1"/>
      <w:proofErr w:type="spellStart"/>
      <w:r>
        <w:t>Alcance</w:t>
      </w:r>
      <w:proofErr w:type="spellEnd"/>
    </w:p>
    <w:p w14:paraId="7AB61985" w14:textId="77777777" w:rsidR="00432E43" w:rsidRDefault="00000000">
      <w:pPr>
        <w:spacing w:before="72"/>
        <w:ind w:left="142" w:right="-142"/>
        <w:jc w:val="both"/>
      </w:pPr>
      <w:r>
        <w:rPr>
          <w:rFonts w:ascii="Verdana" w:hAnsi="Verdana" w:cs="Verdana"/>
          <w:lang w:val="tr-TR"/>
        </w:rPr>
        <w:t xml:space="preserve">Este </w:t>
      </w:r>
      <w:proofErr w:type="spellStart"/>
      <w:r>
        <w:rPr>
          <w:rFonts w:ascii="Verdana" w:hAnsi="Verdana" w:cs="Verdana"/>
          <w:lang w:val="tr-TR"/>
        </w:rPr>
        <w:t>procedimiento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cubre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métodos</w:t>
      </w:r>
      <w:proofErr w:type="spellEnd"/>
      <w:r>
        <w:rPr>
          <w:rFonts w:ascii="Verdana" w:hAnsi="Verdana" w:cs="Verdana"/>
          <w:lang w:val="tr-TR"/>
        </w:rPr>
        <w:t xml:space="preserve"> para </w:t>
      </w:r>
      <w:proofErr w:type="spellStart"/>
      <w:r>
        <w:rPr>
          <w:rFonts w:ascii="Verdana" w:hAnsi="Verdana" w:cs="Verdana"/>
          <w:lang w:val="tr-TR"/>
        </w:rPr>
        <w:t>resolver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quejas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objeciones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respecto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actividades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realizadas</w:t>
      </w:r>
      <w:proofErr w:type="spellEnd"/>
      <w:r>
        <w:rPr>
          <w:rFonts w:ascii="Verdana" w:hAnsi="Verdana" w:cs="Verdana"/>
          <w:lang w:val="tr-TR"/>
        </w:rPr>
        <w:t xml:space="preserve"> por Selecta Global.</w:t>
      </w:r>
    </w:p>
    <w:p w14:paraId="36FE09AA" w14:textId="77777777" w:rsidR="00432E43" w:rsidRDefault="00432E43">
      <w:pPr>
        <w:pStyle w:val="GvdeMetni"/>
        <w:spacing w:before="60" w:line="240" w:lineRule="exact"/>
        <w:ind w:left="284"/>
        <w:jc w:val="both"/>
        <w:rPr>
          <w:rFonts w:ascii="Verdana" w:hAnsi="Verdana" w:cs="Verdana"/>
          <w:sz w:val="20"/>
          <w:lang w:val="tr-TR"/>
        </w:rPr>
      </w:pPr>
    </w:p>
    <w:p w14:paraId="4AC58C75" w14:textId="77777777" w:rsidR="00432E43" w:rsidRDefault="00000000">
      <w:pPr>
        <w:pStyle w:val="Balk1"/>
      </w:pPr>
      <w:bookmarkStart w:id="2" w:name="__RefHeading___Toc12375325"/>
      <w:bookmarkEnd w:id="2"/>
      <w:proofErr w:type="spellStart"/>
      <w:r>
        <w:t>Referencias</w:t>
      </w:r>
      <w:proofErr w:type="spellEnd"/>
    </w:p>
    <w:p w14:paraId="17AA4C35" w14:textId="77777777" w:rsidR="00432E43" w:rsidRDefault="00432E43">
      <w:pPr>
        <w:rPr>
          <w:lang w:val="tr-TR"/>
        </w:rPr>
      </w:pPr>
    </w:p>
    <w:p w14:paraId="7B3A4FB6" w14:textId="77777777" w:rsidR="00432E43" w:rsidRDefault="00000000">
      <w:pPr>
        <w:ind w:left="142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>ISO 17020</w:t>
      </w:r>
    </w:p>
    <w:p w14:paraId="0710FDBE" w14:textId="77777777" w:rsidR="00432E43" w:rsidRDefault="00432E43">
      <w:pPr>
        <w:pStyle w:val="GvdeMetni"/>
        <w:ind w:left="284"/>
        <w:rPr>
          <w:rFonts w:ascii="Verdana" w:hAnsi="Verdana" w:cs="Verdana"/>
          <w:sz w:val="20"/>
          <w:lang w:val="tr-TR"/>
        </w:rPr>
      </w:pPr>
    </w:p>
    <w:p w14:paraId="31E328FB" w14:textId="77777777" w:rsidR="00432E43" w:rsidRDefault="00000000">
      <w:pPr>
        <w:pStyle w:val="Balk1"/>
        <w:tabs>
          <w:tab w:val="left" w:pos="284"/>
        </w:tabs>
      </w:pPr>
      <w:bookmarkStart w:id="3" w:name="__RefHeading___Toc12375326"/>
      <w:bookmarkEnd w:id="3"/>
      <w:proofErr w:type="spellStart"/>
      <w:r>
        <w:t>Definiciones</w:t>
      </w:r>
      <w:proofErr w:type="spellEnd"/>
      <w:r>
        <w:t xml:space="preserve"> y </w:t>
      </w:r>
      <w:proofErr w:type="spellStart"/>
      <w:r>
        <w:t>abreviaturas</w:t>
      </w:r>
      <w:proofErr w:type="spellEnd"/>
    </w:p>
    <w:p w14:paraId="72A7FF8B" w14:textId="5AA0343A" w:rsidR="00432E43" w:rsidRDefault="00000000">
      <w:pPr>
        <w:pStyle w:val="GvdeMetni"/>
        <w:ind w:left="142" w:right="-284"/>
        <w:jc w:val="both"/>
        <w:rPr>
          <w:rFonts w:ascii="Verdana" w:hAnsi="Verdana" w:cs="Verdana"/>
          <w:b/>
          <w:bCs/>
          <w:sz w:val="20"/>
          <w:lang w:val="tr-TR"/>
        </w:rPr>
      </w:pPr>
      <w:proofErr w:type="spellStart"/>
      <w:r>
        <w:rPr>
          <w:rFonts w:ascii="Verdana" w:hAnsi="Verdana" w:cs="Verdana"/>
          <w:b/>
          <w:bCs/>
          <w:sz w:val="20"/>
          <w:lang w:val="tr-TR"/>
        </w:rPr>
        <w:t>Queja</w:t>
      </w:r>
      <w:proofErr w:type="spellEnd"/>
      <w:r>
        <w:rPr>
          <w:rFonts w:ascii="Verdana" w:hAnsi="Verdana" w:cs="Verdana"/>
          <w:b/>
          <w:bCs/>
          <w:sz w:val="20"/>
          <w:lang w:val="tr-TR"/>
        </w:rPr>
        <w:t>:</w:t>
      </w:r>
      <w:r w:rsidR="00D85B16">
        <w:rPr>
          <w:rFonts w:ascii="Verdana" w:hAnsi="Verdana" w:cs="Verdana"/>
          <w:b/>
          <w:bCs/>
          <w:sz w:val="20"/>
          <w:lang w:val="tr-TR"/>
        </w:rPr>
        <w:t xml:space="preserve"> </w:t>
      </w:r>
      <w:r>
        <w:rPr>
          <w:rFonts w:ascii="Verdana" w:hAnsi="Verdana" w:cs="Verdana"/>
          <w:bCs/>
          <w:sz w:val="20"/>
          <w:lang w:val="tr-TR"/>
        </w:rPr>
        <w:t xml:space="preserve">Por </w:t>
      </w:r>
      <w:proofErr w:type="spellStart"/>
      <w:r>
        <w:rPr>
          <w:rFonts w:ascii="Verdana" w:hAnsi="Verdana" w:cs="Verdana"/>
          <w:bCs/>
          <w:sz w:val="20"/>
          <w:lang w:val="tr-TR"/>
        </w:rPr>
        <w:t>personas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bCs/>
          <w:sz w:val="20"/>
          <w:lang w:val="tr-TR"/>
        </w:rPr>
        <w:t>físicas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bCs/>
          <w:sz w:val="20"/>
          <w:lang w:val="tr-TR"/>
        </w:rPr>
        <w:t>jurídicas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o una persona u </w:t>
      </w:r>
      <w:proofErr w:type="spellStart"/>
      <w:r>
        <w:rPr>
          <w:rFonts w:ascii="Verdana" w:hAnsi="Verdana" w:cs="Verdana"/>
          <w:bCs/>
          <w:sz w:val="20"/>
          <w:lang w:val="tr-TR"/>
        </w:rPr>
        <w:t>organización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; </w:t>
      </w:r>
      <w:proofErr w:type="spellStart"/>
      <w:r>
        <w:rPr>
          <w:rFonts w:ascii="Verdana" w:hAnsi="Verdana" w:cs="Verdana"/>
          <w:bCs/>
          <w:sz w:val="20"/>
          <w:lang w:val="tr-TR"/>
        </w:rPr>
        <w:t>Sobre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bCs/>
          <w:sz w:val="20"/>
          <w:lang w:val="tr-TR"/>
        </w:rPr>
        <w:t>los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bCs/>
          <w:sz w:val="20"/>
          <w:lang w:val="tr-TR"/>
        </w:rPr>
        <w:t>servicios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bCs/>
          <w:sz w:val="20"/>
          <w:lang w:val="tr-TR"/>
        </w:rPr>
        <w:t>prestados</w:t>
      </w:r>
      <w:proofErr w:type="spellEnd"/>
      <w:r>
        <w:rPr>
          <w:rFonts w:ascii="Verdana" w:hAnsi="Verdana" w:cs="Verdana"/>
          <w:bCs/>
          <w:sz w:val="20"/>
          <w:lang w:val="tr-TR"/>
        </w:rPr>
        <w:t xml:space="preserve"> por Selecta </w:t>
      </w:r>
      <w:proofErr w:type="spellStart"/>
      <w:r>
        <w:rPr>
          <w:rFonts w:ascii="Verdana" w:hAnsi="Verdana" w:cs="Verdana"/>
          <w:bCs/>
          <w:sz w:val="20"/>
          <w:lang w:val="tr-TR"/>
        </w:rPr>
        <w:t>Global</w:t>
      </w:r>
      <w:r>
        <w:rPr>
          <w:rFonts w:ascii="Verdana" w:hAnsi="Verdana" w:cs="Verdana"/>
          <w:sz w:val="20"/>
          <w:lang w:val="tr-TR"/>
        </w:rPr>
        <w:t>Expresar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insatisfacción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cualquier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asunto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dentro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alcance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procedimientos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políticas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desempeño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servicio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permanente</w:t>
      </w:r>
      <w:proofErr w:type="spellEnd"/>
      <w:r>
        <w:rPr>
          <w:rFonts w:ascii="Verdana" w:hAnsi="Verdana" w:cs="Verdana"/>
          <w:sz w:val="20"/>
          <w:lang w:val="tr-TR"/>
        </w:rPr>
        <w:t xml:space="preserve"> o temporal, </w:t>
      </w:r>
      <w:proofErr w:type="spellStart"/>
      <w:r>
        <w:rPr>
          <w:rFonts w:ascii="Verdana" w:hAnsi="Verdana" w:cs="Verdana"/>
          <w:sz w:val="20"/>
          <w:lang w:val="tr-TR"/>
        </w:rPr>
        <w:t>documentos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emitidos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informes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resultados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mismos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departamentos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 (</w:t>
      </w:r>
      <w:proofErr w:type="spellStart"/>
      <w:r>
        <w:rPr>
          <w:rFonts w:ascii="Verdana" w:hAnsi="Verdana" w:cs="Verdana"/>
          <w:sz w:val="20"/>
          <w:lang w:val="tr-TR"/>
        </w:rPr>
        <w:t>incluidos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organismo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acreditación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y/o </w:t>
      </w:r>
      <w:proofErr w:type="spellStart"/>
      <w:r>
        <w:rPr>
          <w:rFonts w:ascii="Verdana" w:hAnsi="Verdana" w:cs="Verdana"/>
          <w:sz w:val="20"/>
          <w:lang w:val="tr-TR"/>
        </w:rPr>
        <w:t>autorización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) </w:t>
      </w:r>
      <w:r>
        <w:rPr>
          <w:rFonts w:ascii="Verdana" w:hAnsi="Verdana" w:cs="Verdana"/>
          <w:sz w:val="20"/>
          <w:lang w:val="tr-TR"/>
        </w:rPr>
        <w:lastRenderedPageBreak/>
        <w:t xml:space="preserve">de Selecta Global. </w:t>
      </w:r>
      <w:proofErr w:type="gramStart"/>
      <w:r>
        <w:rPr>
          <w:rFonts w:ascii="Verdana" w:hAnsi="Verdana" w:cs="Verdana"/>
          <w:sz w:val="20"/>
          <w:lang w:val="tr-TR"/>
        </w:rPr>
        <w:t>son</w:t>
      </w:r>
      <w:proofErr w:type="gram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negativas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espera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respondidas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verbalmente</w:t>
      </w:r>
      <w:proofErr w:type="spellEnd"/>
      <w:r>
        <w:rPr>
          <w:rFonts w:ascii="Verdana" w:hAnsi="Verdana" w:cs="Verdana"/>
          <w:sz w:val="20"/>
          <w:lang w:val="tr-TR"/>
        </w:rPr>
        <w:t xml:space="preserve"> o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20379F3" w14:textId="4F008DDB" w:rsidR="00432E43" w:rsidRDefault="00000000">
      <w:pPr>
        <w:pStyle w:val="GvdeMetni"/>
        <w:ind w:left="142" w:right="-284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b/>
          <w:bCs/>
          <w:sz w:val="20"/>
          <w:lang w:val="tr-TR"/>
        </w:rPr>
        <w:t>Objeción</w:t>
      </w:r>
      <w:proofErr w:type="spellEnd"/>
      <w:r>
        <w:rPr>
          <w:rFonts w:ascii="Verdana" w:hAnsi="Verdana" w:cs="Verdana"/>
          <w:b/>
          <w:bCs/>
          <w:sz w:val="20"/>
          <w:lang w:val="tr-TR"/>
        </w:rPr>
        <w:t>:</w:t>
      </w:r>
      <w:r w:rsidR="00D85B16">
        <w:rPr>
          <w:rFonts w:ascii="Verdana" w:hAnsi="Verdana" w:cs="Verdana"/>
          <w:b/>
          <w:bCs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Por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físicas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jurídicas</w:t>
      </w:r>
      <w:proofErr w:type="spellEnd"/>
      <w:r>
        <w:rPr>
          <w:rFonts w:ascii="Verdana" w:hAnsi="Verdana" w:cs="Verdana"/>
          <w:sz w:val="20"/>
          <w:lang w:val="tr-TR"/>
        </w:rPr>
        <w:t xml:space="preserve"> o una persona u </w:t>
      </w:r>
      <w:proofErr w:type="spellStart"/>
      <w:r>
        <w:rPr>
          <w:rFonts w:ascii="Verdana" w:hAnsi="Verdana" w:cs="Verdana"/>
          <w:sz w:val="20"/>
          <w:lang w:val="tr-TR"/>
        </w:rPr>
        <w:t>organización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; Es una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contra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cualquier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Selecta Global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asuntos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conciernen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A6A1BE5" w14:textId="634EDCE7" w:rsidR="00432E43" w:rsidRDefault="00000000">
      <w:pPr>
        <w:pStyle w:val="GvdeMetni"/>
        <w:ind w:left="142" w:right="-284"/>
        <w:jc w:val="both"/>
      </w:pPr>
      <w:proofErr w:type="spellStart"/>
      <w:r>
        <w:rPr>
          <w:rFonts w:ascii="Verdana" w:hAnsi="Verdana" w:cs="Verdana"/>
          <w:b/>
          <w:bCs/>
          <w:sz w:val="20"/>
          <w:lang w:val="tr-TR"/>
        </w:rPr>
        <w:t>Comité</w:t>
      </w:r>
      <w:proofErr w:type="spellEnd"/>
      <w:r>
        <w:rPr>
          <w:rFonts w:ascii="Verdana" w:hAnsi="Verdana" w:cs="Verdana"/>
          <w:b/>
          <w:bCs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b/>
          <w:bCs/>
          <w:sz w:val="20"/>
          <w:lang w:val="tr-TR"/>
        </w:rPr>
        <w:t>Apelación</w:t>
      </w:r>
      <w:proofErr w:type="spellEnd"/>
      <w:r>
        <w:rPr>
          <w:rFonts w:ascii="Verdana" w:hAnsi="Verdana" w:cs="Verdana"/>
          <w:b/>
          <w:bCs/>
          <w:sz w:val="20"/>
          <w:lang w:val="tr-TR"/>
        </w:rPr>
        <w:t>:</w:t>
      </w:r>
      <w:r w:rsidR="00D85B16">
        <w:rPr>
          <w:rFonts w:ascii="Verdana" w:hAnsi="Verdana" w:cs="Verdana"/>
          <w:b/>
          <w:bCs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Es el </w:t>
      </w:r>
      <w:proofErr w:type="spellStart"/>
      <w:r>
        <w:rPr>
          <w:rFonts w:ascii="Verdana" w:hAnsi="Verdana" w:cs="Verdana"/>
          <w:sz w:val="20"/>
          <w:lang w:val="tr-TR"/>
        </w:rPr>
        <w:t>grupo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afiliado</w:t>
      </w:r>
      <w:proofErr w:type="spellEnd"/>
      <w:r>
        <w:rPr>
          <w:rFonts w:ascii="Verdana" w:hAnsi="Verdana" w:cs="Verdana"/>
          <w:sz w:val="20"/>
          <w:lang w:val="tr-TR"/>
        </w:rPr>
        <w:t xml:space="preserve"> a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General, el </w:t>
      </w:r>
      <w:proofErr w:type="spellStart"/>
      <w:r>
        <w:rPr>
          <w:rFonts w:ascii="Verdana" w:hAnsi="Verdana" w:cs="Verdana"/>
          <w:sz w:val="20"/>
          <w:lang w:val="tr-TR"/>
        </w:rPr>
        <w:t>cual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integrado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diversos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expertos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internos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externos</w:t>
      </w:r>
      <w:proofErr w:type="spellEnd"/>
      <w:r>
        <w:rPr>
          <w:rFonts w:ascii="Verdana" w:hAnsi="Verdana" w:cs="Verdana"/>
          <w:sz w:val="20"/>
          <w:lang w:val="tr-TR"/>
        </w:rPr>
        <w:t xml:space="preserve"> a Selecta Global,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participan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dicha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cuentan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conocimiento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experiencia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suficientes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materia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decidir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fin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examinar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decidir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a formular </w:t>
      </w:r>
      <w:proofErr w:type="spellStart"/>
      <w:r>
        <w:rPr>
          <w:rFonts w:ascii="Verdana" w:hAnsi="Verdana" w:cs="Verdana"/>
          <w:sz w:val="20"/>
          <w:lang w:val="tr-TR"/>
        </w:rPr>
        <w:t>contra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decisiones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tomadas</w:t>
      </w:r>
      <w:proofErr w:type="spellEnd"/>
      <w:r>
        <w:rPr>
          <w:rFonts w:ascii="Verdana" w:hAnsi="Verdana" w:cs="Verdana"/>
          <w:sz w:val="20"/>
          <w:lang w:val="tr-TR"/>
        </w:rPr>
        <w:t xml:space="preserve"> por Selecta Global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respecto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Global.</w:t>
      </w:r>
    </w:p>
    <w:p w14:paraId="63BCF801" w14:textId="637D7BA8" w:rsidR="00432E43" w:rsidRDefault="00000000">
      <w:pPr>
        <w:pStyle w:val="GvdeMetni"/>
        <w:ind w:left="142" w:right="-142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b/>
          <w:bCs/>
          <w:sz w:val="20"/>
          <w:lang w:val="tr-TR"/>
        </w:rPr>
        <w:t>Selecta Global:</w:t>
      </w:r>
      <w:r w:rsidR="00D85B16">
        <w:rPr>
          <w:rFonts w:ascii="Verdana" w:hAnsi="Verdana" w:cs="Verdana"/>
          <w:b/>
          <w:bCs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Selecta Global </w:t>
      </w:r>
      <w:proofErr w:type="spellStart"/>
      <w:r>
        <w:rPr>
          <w:rFonts w:ascii="Verdana" w:hAnsi="Verdana" w:cs="Verdana"/>
          <w:sz w:val="20"/>
          <w:lang w:val="tr-TR"/>
        </w:rPr>
        <w:t>mencionado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este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departamentos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dentro</w:t>
      </w:r>
      <w:proofErr w:type="spellEnd"/>
      <w:r>
        <w:rPr>
          <w:rFonts w:ascii="Verdana" w:hAnsi="Verdana" w:cs="Verdana"/>
          <w:sz w:val="20"/>
          <w:lang w:val="tr-TR"/>
        </w:rPr>
        <w:t xml:space="preserve"> de su </w:t>
      </w:r>
      <w:proofErr w:type="spellStart"/>
      <w:r>
        <w:rPr>
          <w:rFonts w:ascii="Verdana" w:hAnsi="Verdana" w:cs="Verdana"/>
          <w:sz w:val="20"/>
          <w:lang w:val="tr-TR"/>
        </w:rPr>
        <w:t>organización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63833A11" w14:textId="77777777" w:rsidR="00432E43" w:rsidRDefault="00432E43">
      <w:pPr>
        <w:pStyle w:val="GvdeMetni"/>
        <w:spacing w:before="60" w:line="240" w:lineRule="exact"/>
        <w:ind w:left="567"/>
        <w:jc w:val="both"/>
        <w:rPr>
          <w:rFonts w:ascii="Verdana" w:hAnsi="Verdana" w:cs="Verdana"/>
          <w:sz w:val="20"/>
          <w:lang w:val="tr-TR"/>
        </w:rPr>
      </w:pPr>
    </w:p>
    <w:p w14:paraId="3C579A1C" w14:textId="77777777" w:rsidR="00432E43" w:rsidRDefault="00000000">
      <w:pPr>
        <w:pStyle w:val="Balk1"/>
      </w:pPr>
      <w:bookmarkStart w:id="4" w:name="__RefHeading___Toc12375327"/>
      <w:bookmarkEnd w:id="4"/>
      <w:proofErr w:type="spellStart"/>
      <w:r>
        <w:t>Responsabilidades</w:t>
      </w:r>
      <w:proofErr w:type="spellEnd"/>
      <w:r>
        <w:t xml:space="preserve"> y </w:t>
      </w:r>
      <w:proofErr w:type="spellStart"/>
      <w:r>
        <w:t>Personal</w:t>
      </w:r>
      <w:proofErr w:type="spellEnd"/>
    </w:p>
    <w:p w14:paraId="07BFE849" w14:textId="77777777" w:rsidR="00432E43" w:rsidRDefault="00000000">
      <w:pPr>
        <w:pStyle w:val="Balk2"/>
        <w:jc w:val="both"/>
      </w:pPr>
      <w:bookmarkStart w:id="5" w:name="__RefHeading___Toc12375328"/>
      <w:bookmarkEnd w:id="5"/>
      <w:proofErr w:type="spellStart"/>
      <w:r>
        <w:t>Ejecución</w:t>
      </w:r>
      <w:proofErr w:type="spellEnd"/>
      <w:r>
        <w:t xml:space="preserve"> del </w:t>
      </w:r>
      <w:proofErr w:type="spellStart"/>
      <w:r>
        <w:t>procedimiento</w:t>
      </w:r>
      <w:proofErr w:type="spellEnd"/>
    </w:p>
    <w:p w14:paraId="683EF044" w14:textId="77777777" w:rsidR="00432E43" w:rsidRDefault="00000000">
      <w:pPr>
        <w:pStyle w:val="GvdeMetni"/>
        <w:spacing w:before="60" w:line="240" w:lineRule="exact"/>
        <w:ind w:left="142" w:right="-284"/>
        <w:jc w:val="both"/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 y 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responsables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ejecución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1943FF0" w14:textId="77777777" w:rsidR="00432E43" w:rsidRDefault="00000000">
      <w:pPr>
        <w:pStyle w:val="Balk2"/>
        <w:jc w:val="both"/>
      </w:pPr>
      <w:bookmarkStart w:id="6" w:name="__RefHeading___Toc12375329"/>
      <w:bookmarkEnd w:id="6"/>
      <w:proofErr w:type="spellStart"/>
      <w:r>
        <w:t>Usuarios</w:t>
      </w:r>
      <w:proofErr w:type="spellEnd"/>
      <w:r>
        <w:t xml:space="preserve"> del </w:t>
      </w:r>
      <w:proofErr w:type="spellStart"/>
      <w:r>
        <w:t>procedimiento</w:t>
      </w:r>
      <w:proofErr w:type="spellEnd"/>
    </w:p>
    <w:p w14:paraId="3F65AEDB" w14:textId="77777777" w:rsidR="00432E43" w:rsidRDefault="00000000">
      <w:pPr>
        <w:pStyle w:val="GvdeMetni"/>
        <w:numPr>
          <w:ilvl w:val="0"/>
          <w:numId w:val="8"/>
        </w:numPr>
        <w:spacing w:before="60" w:line="240" w:lineRule="exact"/>
        <w:ind w:right="-142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Todos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empleados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Global; Es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registrar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u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sus </w:t>
      </w:r>
      <w:proofErr w:type="spellStart"/>
      <w:r>
        <w:rPr>
          <w:rFonts w:ascii="Verdana" w:hAnsi="Verdana" w:cs="Verdana"/>
          <w:sz w:val="20"/>
          <w:lang w:val="tr-TR"/>
        </w:rPr>
        <w:t>clientes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remitir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resolver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clientes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determinar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motivo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 xml:space="preserve"> a su </w:t>
      </w:r>
      <w:proofErr w:type="spellStart"/>
      <w:r>
        <w:rPr>
          <w:rFonts w:ascii="Verdana" w:hAnsi="Verdana" w:cs="Verdana"/>
          <w:sz w:val="20"/>
          <w:lang w:val="tr-TR"/>
        </w:rPr>
        <w:t>cargo</w:t>
      </w:r>
      <w:proofErr w:type="spellEnd"/>
      <w:r>
        <w:rPr>
          <w:rFonts w:ascii="Verdana" w:hAnsi="Verdana" w:cs="Verdana"/>
          <w:sz w:val="20"/>
          <w:lang w:val="tr-TR"/>
        </w:rPr>
        <w:t xml:space="preserve">, y </w:t>
      </w:r>
      <w:proofErr w:type="spellStart"/>
      <w:r>
        <w:rPr>
          <w:rFonts w:ascii="Verdana" w:hAnsi="Verdana" w:cs="Verdana"/>
          <w:sz w:val="20"/>
          <w:lang w:val="tr-TR"/>
        </w:rPr>
        <w:t>realizando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necesarias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eliminarlos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AF1EB24" w14:textId="77777777" w:rsidR="00432E43" w:rsidRDefault="00000000">
      <w:pPr>
        <w:pStyle w:val="GvdeMetni"/>
        <w:numPr>
          <w:ilvl w:val="0"/>
          <w:numId w:val="8"/>
        </w:numPr>
        <w:spacing w:before="60" w:line="240" w:lineRule="exact"/>
        <w:ind w:right="-142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Gerentes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; Es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evaluar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le </w:t>
      </w:r>
      <w:proofErr w:type="spellStart"/>
      <w:r>
        <w:rPr>
          <w:rFonts w:ascii="Verdana" w:hAnsi="Verdana" w:cs="Verdana"/>
          <w:sz w:val="20"/>
          <w:lang w:val="tr-TR"/>
        </w:rPr>
        <w:t>envíe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notificar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evaluadas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monitorear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finalizar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mantener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registros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6DD686E9" w14:textId="77777777" w:rsidR="00432E43" w:rsidRDefault="00000000">
      <w:pPr>
        <w:pStyle w:val="GvdeMetni"/>
        <w:numPr>
          <w:ilvl w:val="0"/>
          <w:numId w:val="8"/>
        </w:numPr>
        <w:ind w:right="-1"/>
        <w:jc w:val="both"/>
      </w:pPr>
      <w:r>
        <w:rPr>
          <w:rFonts w:ascii="Verdana" w:hAnsi="Verdana" w:cs="Verdana"/>
          <w:bCs/>
          <w:sz w:val="20"/>
        </w:rPr>
        <w:t xml:space="preserve">El </w:t>
      </w:r>
      <w:proofErr w:type="spellStart"/>
      <w:r>
        <w:rPr>
          <w:rFonts w:ascii="Verdana" w:hAnsi="Verdana" w:cs="Verdana"/>
          <w:bCs/>
          <w:sz w:val="20"/>
        </w:rPr>
        <w:t>Gerente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Oficina</w:t>
      </w:r>
      <w:proofErr w:type="spellEnd"/>
      <w:r>
        <w:rPr>
          <w:rFonts w:ascii="Verdana" w:hAnsi="Verdana" w:cs="Verdana"/>
          <w:bCs/>
          <w:sz w:val="20"/>
        </w:rPr>
        <w:t xml:space="preserve"> y </w:t>
      </w:r>
      <w:proofErr w:type="spellStart"/>
      <w:r>
        <w:rPr>
          <w:rFonts w:ascii="Verdana" w:hAnsi="Verdana" w:cs="Verdana"/>
          <w:bCs/>
          <w:sz w:val="20"/>
        </w:rPr>
        <w:t>el</w:t>
      </w:r>
      <w:proofErr w:type="spellEnd"/>
      <w:r>
        <w:rPr>
          <w:rFonts w:ascii="Verdana" w:hAnsi="Verdana" w:cs="Verdana"/>
          <w:bCs/>
          <w:sz w:val="20"/>
        </w:rPr>
        <w:t xml:space="preserve"> </w:t>
      </w:r>
      <w:proofErr w:type="spellStart"/>
      <w:r>
        <w:rPr>
          <w:rFonts w:ascii="Verdana" w:hAnsi="Verdana" w:cs="Verdana"/>
          <w:bCs/>
          <w:sz w:val="20"/>
        </w:rPr>
        <w:t>Gerente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Departamento</w:t>
      </w:r>
      <w:proofErr w:type="spellEnd"/>
      <w:r>
        <w:rPr>
          <w:rFonts w:ascii="Verdana" w:hAnsi="Verdana" w:cs="Verdana"/>
          <w:bCs/>
          <w:sz w:val="20"/>
        </w:rPr>
        <w:t xml:space="preserve"> son </w:t>
      </w:r>
      <w:proofErr w:type="spellStart"/>
      <w:r>
        <w:rPr>
          <w:rFonts w:ascii="Verdana" w:hAnsi="Verdana" w:cs="Verdana"/>
          <w:bCs/>
          <w:sz w:val="20"/>
        </w:rPr>
        <w:t>responsables</w:t>
      </w:r>
      <w:proofErr w:type="spellEnd"/>
      <w:r>
        <w:rPr>
          <w:rFonts w:ascii="Verdana" w:hAnsi="Verdana" w:cs="Verdana"/>
          <w:bCs/>
          <w:sz w:val="20"/>
        </w:rPr>
        <w:t xml:space="preserve"> de la </w:t>
      </w:r>
      <w:proofErr w:type="spellStart"/>
      <w:r>
        <w:rPr>
          <w:rFonts w:ascii="Verdana" w:hAnsi="Verdana" w:cs="Verdana"/>
          <w:bCs/>
          <w:sz w:val="20"/>
        </w:rPr>
        <w:t>implementación</w:t>
      </w:r>
      <w:proofErr w:type="spellEnd"/>
      <w:r>
        <w:rPr>
          <w:rFonts w:ascii="Verdana" w:hAnsi="Verdana" w:cs="Verdana"/>
          <w:bCs/>
          <w:sz w:val="20"/>
        </w:rPr>
        <w:t xml:space="preserve"> de las </w:t>
      </w:r>
      <w:proofErr w:type="spellStart"/>
      <w:r>
        <w:rPr>
          <w:rFonts w:ascii="Verdana" w:hAnsi="Verdana" w:cs="Verdana"/>
          <w:bCs/>
          <w:sz w:val="20"/>
        </w:rPr>
        <w:t>encuestas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satisfacción</w:t>
      </w:r>
      <w:proofErr w:type="spellEnd"/>
      <w:r>
        <w:rPr>
          <w:rFonts w:ascii="Verdana" w:hAnsi="Verdana" w:cs="Verdana"/>
          <w:bCs/>
          <w:sz w:val="20"/>
        </w:rPr>
        <w:t xml:space="preserve"> del </w:t>
      </w:r>
      <w:proofErr w:type="spellStart"/>
      <w:r>
        <w:rPr>
          <w:rFonts w:ascii="Verdana" w:hAnsi="Verdana" w:cs="Verdana"/>
          <w:bCs/>
          <w:sz w:val="20"/>
        </w:rPr>
        <w:t>cliente</w:t>
      </w:r>
      <w:proofErr w:type="spellEnd"/>
      <w:r>
        <w:rPr>
          <w:rFonts w:ascii="Verdana" w:hAnsi="Verdana" w:cs="Verdana"/>
          <w:bCs/>
          <w:sz w:val="20"/>
        </w:rPr>
        <w:t xml:space="preserve">, y </w:t>
      </w:r>
      <w:proofErr w:type="spellStart"/>
      <w:r>
        <w:rPr>
          <w:rFonts w:ascii="Verdana" w:hAnsi="Verdana" w:cs="Verdana"/>
          <w:bCs/>
          <w:sz w:val="20"/>
        </w:rPr>
        <w:t>el</w:t>
      </w:r>
      <w:proofErr w:type="spellEnd"/>
      <w:r>
        <w:rPr>
          <w:rFonts w:ascii="Verdana" w:hAnsi="Verdana" w:cs="Verdana"/>
          <w:bCs/>
          <w:sz w:val="20"/>
        </w:rPr>
        <w:t xml:space="preserve"> </w:t>
      </w:r>
      <w:proofErr w:type="spellStart"/>
      <w:r>
        <w:rPr>
          <w:rFonts w:ascii="Verdana" w:hAnsi="Verdana" w:cs="Verdana"/>
          <w:bCs/>
          <w:sz w:val="20"/>
        </w:rPr>
        <w:t>Representante</w:t>
      </w:r>
      <w:proofErr w:type="spellEnd"/>
      <w:r>
        <w:rPr>
          <w:rFonts w:ascii="Verdana" w:hAnsi="Verdana" w:cs="Verdana"/>
          <w:bCs/>
          <w:sz w:val="20"/>
        </w:rPr>
        <w:t xml:space="preserve"> de la </w:t>
      </w:r>
      <w:proofErr w:type="spellStart"/>
      <w:r>
        <w:rPr>
          <w:rFonts w:ascii="Verdana" w:hAnsi="Verdana" w:cs="Verdana"/>
          <w:bCs/>
          <w:sz w:val="20"/>
        </w:rPr>
        <w:t>Gerencia</w:t>
      </w:r>
      <w:proofErr w:type="spellEnd"/>
      <w:r>
        <w:rPr>
          <w:rFonts w:ascii="Verdana" w:hAnsi="Verdana" w:cs="Verdana"/>
          <w:bCs/>
          <w:sz w:val="20"/>
        </w:rPr>
        <w:t xml:space="preserve"> es </w:t>
      </w:r>
      <w:proofErr w:type="spellStart"/>
      <w:r>
        <w:rPr>
          <w:rFonts w:ascii="Verdana" w:hAnsi="Verdana" w:cs="Verdana"/>
          <w:bCs/>
          <w:sz w:val="20"/>
        </w:rPr>
        <w:t>responsable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su</w:t>
      </w:r>
      <w:proofErr w:type="spellEnd"/>
      <w:r>
        <w:rPr>
          <w:rFonts w:ascii="Verdana" w:hAnsi="Verdana" w:cs="Verdana"/>
          <w:bCs/>
          <w:sz w:val="20"/>
        </w:rPr>
        <w:t xml:space="preserve"> </w:t>
      </w:r>
      <w:proofErr w:type="spellStart"/>
      <w:r>
        <w:rPr>
          <w:rFonts w:ascii="Verdana" w:hAnsi="Verdana" w:cs="Verdana"/>
          <w:bCs/>
          <w:sz w:val="20"/>
        </w:rPr>
        <w:t>evaluación</w:t>
      </w:r>
      <w:proofErr w:type="spellEnd"/>
      <w:r>
        <w:rPr>
          <w:rFonts w:ascii="Verdana" w:hAnsi="Verdana" w:cs="Verdana"/>
          <w:bCs/>
          <w:sz w:val="20"/>
        </w:rPr>
        <w:t>.</w:t>
      </w:r>
    </w:p>
    <w:p w14:paraId="5A0299BF" w14:textId="77777777" w:rsidR="00432E43" w:rsidRDefault="00000000">
      <w:pPr>
        <w:pStyle w:val="GvdeMetni"/>
        <w:numPr>
          <w:ilvl w:val="0"/>
          <w:numId w:val="8"/>
        </w:numPr>
        <w:ind w:right="-1"/>
        <w:jc w:val="both"/>
      </w:pPr>
      <w:r>
        <w:rPr>
          <w:rFonts w:ascii="Verdana" w:hAnsi="Verdana" w:cs="Verdana"/>
          <w:bCs/>
          <w:sz w:val="20"/>
        </w:rPr>
        <w:t xml:space="preserve">El </w:t>
      </w:r>
      <w:proofErr w:type="spellStart"/>
      <w:r>
        <w:rPr>
          <w:rFonts w:ascii="Verdana" w:hAnsi="Verdana" w:cs="Verdana"/>
          <w:bCs/>
          <w:sz w:val="20"/>
        </w:rPr>
        <w:t>Comité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Apelaciones</w:t>
      </w:r>
      <w:proofErr w:type="spellEnd"/>
      <w:r>
        <w:rPr>
          <w:rFonts w:ascii="Verdana" w:hAnsi="Verdana" w:cs="Verdana"/>
          <w:bCs/>
          <w:sz w:val="20"/>
        </w:rPr>
        <w:t xml:space="preserve"> es </w:t>
      </w:r>
      <w:proofErr w:type="spellStart"/>
      <w:r>
        <w:rPr>
          <w:rFonts w:ascii="Verdana" w:hAnsi="Verdana" w:cs="Verdana"/>
          <w:bCs/>
          <w:sz w:val="20"/>
        </w:rPr>
        <w:t>responsable</w:t>
      </w:r>
      <w:proofErr w:type="spellEnd"/>
      <w:r>
        <w:rPr>
          <w:rFonts w:ascii="Verdana" w:hAnsi="Verdana" w:cs="Verdana"/>
          <w:bCs/>
          <w:sz w:val="20"/>
        </w:rPr>
        <w:t xml:space="preserve"> de la </w:t>
      </w:r>
      <w:proofErr w:type="spellStart"/>
      <w:r>
        <w:rPr>
          <w:rFonts w:ascii="Verdana" w:hAnsi="Verdana" w:cs="Verdana"/>
          <w:bCs/>
          <w:sz w:val="20"/>
        </w:rPr>
        <w:t>evaluación</w:t>
      </w:r>
      <w:proofErr w:type="spellEnd"/>
      <w:r>
        <w:rPr>
          <w:rFonts w:ascii="Verdana" w:hAnsi="Verdana" w:cs="Verdana"/>
          <w:bCs/>
          <w:sz w:val="20"/>
        </w:rPr>
        <w:t xml:space="preserve"> y </w:t>
      </w:r>
      <w:proofErr w:type="spellStart"/>
      <w:r>
        <w:rPr>
          <w:rFonts w:ascii="Verdana" w:hAnsi="Verdana" w:cs="Verdana"/>
          <w:bCs/>
          <w:sz w:val="20"/>
        </w:rPr>
        <w:t>conclusión</w:t>
      </w:r>
      <w:proofErr w:type="spellEnd"/>
      <w:r>
        <w:rPr>
          <w:rFonts w:ascii="Verdana" w:hAnsi="Verdana" w:cs="Verdana"/>
          <w:bCs/>
          <w:sz w:val="20"/>
        </w:rPr>
        <w:t xml:space="preserve"> de </w:t>
      </w:r>
      <w:proofErr w:type="spellStart"/>
      <w:r>
        <w:rPr>
          <w:rFonts w:ascii="Verdana" w:hAnsi="Verdana" w:cs="Verdana"/>
          <w:bCs/>
          <w:sz w:val="20"/>
        </w:rPr>
        <w:t>objeciones</w:t>
      </w:r>
      <w:proofErr w:type="spellEnd"/>
      <w:r>
        <w:rPr>
          <w:rFonts w:ascii="Verdana" w:hAnsi="Verdana" w:cs="Verdana"/>
          <w:bCs/>
          <w:sz w:val="20"/>
        </w:rPr>
        <w:t xml:space="preserve"> y </w:t>
      </w:r>
      <w:proofErr w:type="spellStart"/>
      <w:r>
        <w:rPr>
          <w:rFonts w:ascii="Verdana" w:hAnsi="Verdana" w:cs="Verdana"/>
          <w:bCs/>
          <w:sz w:val="20"/>
        </w:rPr>
        <w:t>quejas</w:t>
      </w:r>
      <w:proofErr w:type="spellEnd"/>
      <w:r>
        <w:rPr>
          <w:rFonts w:ascii="Verdana" w:hAnsi="Verdana" w:cs="Verdana"/>
          <w:bCs/>
          <w:sz w:val="20"/>
        </w:rPr>
        <w:t>.</w:t>
      </w:r>
    </w:p>
    <w:p w14:paraId="30D10D07" w14:textId="77777777" w:rsidR="00432E43" w:rsidRDefault="00432E43">
      <w:pPr>
        <w:pStyle w:val="GvdeMetni"/>
        <w:spacing w:before="60" w:line="240" w:lineRule="exact"/>
        <w:ind w:left="426"/>
        <w:jc w:val="both"/>
        <w:rPr>
          <w:rFonts w:ascii="Verdana" w:hAnsi="Verdana" w:cs="Verdana"/>
          <w:bCs/>
          <w:sz w:val="20"/>
          <w:lang w:val="tr-TR"/>
        </w:rPr>
      </w:pPr>
    </w:p>
    <w:p w14:paraId="5EED9ACF" w14:textId="77777777" w:rsidR="00432E43" w:rsidRDefault="00000000">
      <w:pPr>
        <w:pStyle w:val="Balk1"/>
      </w:pPr>
      <w:bookmarkStart w:id="7" w:name="__RefHeading___Toc12375330"/>
      <w:bookmarkEnd w:id="7"/>
      <w:proofErr w:type="spellStart"/>
      <w:r>
        <w:t>Procedimiento</w:t>
      </w:r>
      <w:proofErr w:type="spellEnd"/>
    </w:p>
    <w:p w14:paraId="5C58EC29" w14:textId="77777777" w:rsidR="00432E43" w:rsidRDefault="00000000">
      <w:pPr>
        <w:pStyle w:val="Balk2"/>
      </w:pPr>
      <w:bookmarkStart w:id="8" w:name="__RefHeading___Toc12375331"/>
      <w:bookmarkEnd w:id="8"/>
      <w:r>
        <w:t>General</w:t>
      </w:r>
    </w:p>
    <w:p w14:paraId="5A68CF7D" w14:textId="77777777" w:rsidR="00432E43" w:rsidRDefault="00000000">
      <w:pPr>
        <w:pStyle w:val="GvdeMetni"/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siguientes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principios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aplican</w:t>
      </w:r>
      <w:proofErr w:type="spellEnd"/>
      <w:r>
        <w:rPr>
          <w:rFonts w:ascii="Verdana" w:hAnsi="Verdana" w:cs="Verdana"/>
          <w:sz w:val="20"/>
          <w:lang w:val="tr-TR"/>
        </w:rPr>
        <w:t xml:space="preserve"> para la </w:t>
      </w:r>
      <w:proofErr w:type="spellStart"/>
      <w:r>
        <w:rPr>
          <w:rFonts w:ascii="Verdana" w:hAnsi="Verdana" w:cs="Verdana"/>
          <w:sz w:val="20"/>
          <w:lang w:val="tr-TR"/>
        </w:rPr>
        <w:t>adecuada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rápida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conclusión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recibidas</w:t>
      </w:r>
      <w:proofErr w:type="spellEnd"/>
      <w:r>
        <w:rPr>
          <w:rFonts w:ascii="Verdana" w:hAnsi="Verdana" w:cs="Verdana"/>
          <w:sz w:val="20"/>
          <w:lang w:val="tr-TR"/>
        </w:rPr>
        <w:t xml:space="preserve"> por Selecta Global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respecto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Global.</w:t>
      </w:r>
    </w:p>
    <w:p w14:paraId="01ECCC26" w14:textId="77777777" w:rsidR="00432E43" w:rsidRDefault="00000000">
      <w:pPr>
        <w:numPr>
          <w:ilvl w:val="0"/>
          <w:numId w:val="11"/>
        </w:numPr>
        <w:spacing w:before="144"/>
        <w:ind w:left="851" w:right="-284"/>
        <w:jc w:val="both"/>
      </w:pPr>
      <w:r>
        <w:rPr>
          <w:rFonts w:ascii="Verdana" w:eastAsia="Verdana" w:hAnsi="Verdana" w:cs="Verdana"/>
          <w:lang w:val="tr-TR"/>
        </w:rPr>
        <w:t xml:space="preserve"> </w:t>
      </w:r>
      <w:r>
        <w:rPr>
          <w:rFonts w:ascii="Verdana" w:hAnsi="Verdana" w:cs="Verdana"/>
          <w:lang w:val="tr-TR"/>
        </w:rPr>
        <w:t xml:space="preserve">Selecta Global </w:t>
      </w:r>
      <w:proofErr w:type="spellStart"/>
      <w:r>
        <w:rPr>
          <w:rFonts w:ascii="Verdana" w:hAnsi="Verdana" w:cs="Verdana"/>
          <w:lang w:val="tr-TR"/>
        </w:rPr>
        <w:t>evalúa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quejas</w:t>
      </w:r>
      <w:proofErr w:type="spellEnd"/>
      <w:r>
        <w:rPr>
          <w:rFonts w:ascii="Verdana" w:hAnsi="Verdana" w:cs="Verdana"/>
          <w:lang w:val="tr-TR"/>
        </w:rPr>
        <w:t>/</w:t>
      </w:r>
      <w:proofErr w:type="spellStart"/>
      <w:r>
        <w:rPr>
          <w:rFonts w:ascii="Verdana" w:hAnsi="Verdana" w:cs="Verdana"/>
          <w:lang w:val="tr-TR"/>
        </w:rPr>
        <w:t>objeciones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solicitudes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respecto</w:t>
      </w:r>
      <w:proofErr w:type="spellEnd"/>
      <w:r>
        <w:rPr>
          <w:rFonts w:ascii="Verdana" w:hAnsi="Verdana" w:cs="Verdana"/>
          <w:lang w:val="tr-TR"/>
        </w:rPr>
        <w:t xml:space="preserve"> de un </w:t>
      </w:r>
      <w:proofErr w:type="spellStart"/>
      <w:r>
        <w:rPr>
          <w:rFonts w:ascii="Verdana" w:hAnsi="Verdana" w:cs="Verdana"/>
          <w:lang w:val="tr-TR"/>
        </w:rPr>
        <w:t>proceso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relacionado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servicios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prestados</w:t>
      </w:r>
      <w:proofErr w:type="spellEnd"/>
      <w:r>
        <w:rPr>
          <w:rFonts w:ascii="Verdana" w:hAnsi="Verdana" w:cs="Verdana"/>
          <w:lang w:val="tr-TR"/>
        </w:rPr>
        <w:t xml:space="preserve"> a sus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toma</w:t>
      </w:r>
      <w:proofErr w:type="spellEnd"/>
      <w:r>
        <w:rPr>
          <w:rFonts w:ascii="Verdana" w:hAnsi="Verdana" w:cs="Verdana"/>
          <w:lang w:val="tr-TR"/>
        </w:rPr>
        <w:t xml:space="preserve"> una </w:t>
      </w:r>
      <w:proofErr w:type="spellStart"/>
      <w:r>
        <w:rPr>
          <w:rFonts w:ascii="Verdana" w:hAnsi="Verdana" w:cs="Verdana"/>
          <w:lang w:val="tr-TR"/>
        </w:rPr>
        <w:t>decisión</w:t>
      </w:r>
      <w:proofErr w:type="spellEnd"/>
      <w:r>
        <w:rPr>
          <w:rFonts w:ascii="Verdana" w:hAnsi="Verdana" w:cs="Verdana"/>
          <w:lang w:val="tr-TR"/>
        </w:rPr>
        <w:t xml:space="preserve"> para </w:t>
      </w:r>
      <w:proofErr w:type="spellStart"/>
      <w:r>
        <w:rPr>
          <w:rFonts w:ascii="Verdana" w:hAnsi="Verdana" w:cs="Verdana"/>
          <w:lang w:val="tr-TR"/>
        </w:rPr>
        <w:t>resolverlo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sigue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acciones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respecto</w:t>
      </w:r>
      <w:proofErr w:type="spellEnd"/>
      <w:r>
        <w:rPr>
          <w:rFonts w:ascii="Verdana" w:hAnsi="Verdana" w:cs="Verdana"/>
          <w:lang w:val="tr-TR"/>
        </w:rPr>
        <w:t xml:space="preserve"> a la </w:t>
      </w:r>
      <w:proofErr w:type="spellStart"/>
      <w:r>
        <w:rPr>
          <w:rFonts w:ascii="Verdana" w:hAnsi="Verdana" w:cs="Verdana"/>
          <w:lang w:val="tr-TR"/>
        </w:rPr>
        <w:t>decisión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tomada</w:t>
      </w:r>
      <w:proofErr w:type="spellEnd"/>
      <w:r>
        <w:rPr>
          <w:rFonts w:ascii="Verdana" w:hAnsi="Verdana" w:cs="Verdana"/>
          <w:lang w:val="tr-TR"/>
        </w:rPr>
        <w:t>.</w:t>
      </w:r>
    </w:p>
    <w:p w14:paraId="74608A32" w14:textId="77777777" w:rsidR="00432E43" w:rsidRDefault="00000000">
      <w:pPr>
        <w:numPr>
          <w:ilvl w:val="0"/>
          <w:numId w:val="11"/>
        </w:numPr>
        <w:spacing w:before="144"/>
        <w:ind w:left="851" w:right="-284"/>
        <w:jc w:val="both"/>
      </w:pPr>
      <w:r>
        <w:rPr>
          <w:rFonts w:ascii="Verdana" w:eastAsia="Verdana" w:hAnsi="Verdana" w:cs="Verdana"/>
          <w:lang w:val="tr-TR"/>
        </w:rPr>
        <w:lastRenderedPageBreak/>
        <w:t xml:space="preserve"> </w:t>
      </w:r>
      <w:r>
        <w:rPr>
          <w:rFonts w:ascii="Verdana" w:hAnsi="Verdana" w:cs="Verdana"/>
          <w:lang w:val="tr-TR"/>
        </w:rPr>
        <w:t xml:space="preserve">Los </w:t>
      </w:r>
      <w:proofErr w:type="spellStart"/>
      <w:r>
        <w:rPr>
          <w:rFonts w:ascii="Verdana" w:hAnsi="Verdana" w:cs="Verdana"/>
          <w:lang w:val="tr-TR"/>
        </w:rPr>
        <w:t>siguientes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principios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aplican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fin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evaluar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finalizar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manera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adecuada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rápida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quejas</w:t>
      </w:r>
      <w:proofErr w:type="spellEnd"/>
      <w:r>
        <w:rPr>
          <w:rFonts w:ascii="Verdana" w:hAnsi="Verdana" w:cs="Verdana"/>
          <w:lang w:val="tr-TR"/>
        </w:rPr>
        <w:t>/</w:t>
      </w:r>
      <w:proofErr w:type="spellStart"/>
      <w:r>
        <w:rPr>
          <w:rFonts w:ascii="Verdana" w:hAnsi="Verdana" w:cs="Verdana"/>
          <w:lang w:val="tr-TR"/>
        </w:rPr>
        <w:t>objeciones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solicitudes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recibidas</w:t>
      </w:r>
      <w:proofErr w:type="spellEnd"/>
      <w:r>
        <w:rPr>
          <w:rFonts w:ascii="Verdana" w:hAnsi="Verdana" w:cs="Verdana"/>
          <w:lang w:val="tr-TR"/>
        </w:rPr>
        <w:t xml:space="preserve"> por Selecta Global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respecto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servicios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actividades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prestados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>.</w:t>
      </w:r>
    </w:p>
    <w:p w14:paraId="36A28971" w14:textId="77777777" w:rsidR="00432E43" w:rsidRDefault="00000000">
      <w:pPr>
        <w:numPr>
          <w:ilvl w:val="0"/>
          <w:numId w:val="11"/>
        </w:numPr>
        <w:spacing w:before="144"/>
        <w:ind w:left="851" w:right="-284"/>
        <w:jc w:val="both"/>
      </w:pPr>
      <w:r>
        <w:rPr>
          <w:rFonts w:ascii="Verdana" w:eastAsia="Verdana" w:hAnsi="Verdana" w:cs="Verdana"/>
          <w:lang w:val="tr-TR"/>
        </w:rPr>
        <w:t xml:space="preserve"> </w:t>
      </w:r>
      <w:r>
        <w:rPr>
          <w:rFonts w:ascii="Verdana" w:hAnsi="Verdana" w:cs="Verdana"/>
          <w:lang w:val="tr-TR"/>
        </w:rPr>
        <w:t xml:space="preserve">Se </w:t>
      </w:r>
      <w:proofErr w:type="spellStart"/>
      <w:r>
        <w:rPr>
          <w:rFonts w:ascii="Verdana" w:hAnsi="Verdana" w:cs="Verdana"/>
          <w:lang w:val="tr-TR"/>
        </w:rPr>
        <w:t>informa</w:t>
      </w:r>
      <w:proofErr w:type="spellEnd"/>
      <w:r>
        <w:rPr>
          <w:rFonts w:ascii="Verdana" w:hAnsi="Verdana" w:cs="Verdana"/>
          <w:lang w:val="tr-TR"/>
        </w:rPr>
        <w:t xml:space="preserve"> al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sobre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aspectos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deben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incluir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cambios</w:t>
      </w:r>
      <w:proofErr w:type="spellEnd"/>
      <w:r>
        <w:rPr>
          <w:rFonts w:ascii="Verdana" w:hAnsi="Verdana" w:cs="Verdana"/>
          <w:lang w:val="tr-TR"/>
        </w:rPr>
        <w:t xml:space="preserve"> en la </w:t>
      </w:r>
      <w:proofErr w:type="spellStart"/>
      <w:r>
        <w:rPr>
          <w:rFonts w:ascii="Verdana" w:hAnsi="Verdana" w:cs="Verdana"/>
          <w:lang w:val="tr-TR"/>
        </w:rPr>
        <w:t>información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informe</w:t>
      </w:r>
      <w:proofErr w:type="spellEnd"/>
      <w:r>
        <w:rPr>
          <w:rFonts w:ascii="Verdana" w:hAnsi="Verdana" w:cs="Verdana"/>
          <w:lang w:val="tr-TR"/>
        </w:rPr>
        <w:t>.</w:t>
      </w:r>
    </w:p>
    <w:p w14:paraId="147F8666" w14:textId="77777777" w:rsidR="00432E43" w:rsidRDefault="00000000">
      <w:pPr>
        <w:numPr>
          <w:ilvl w:val="0"/>
          <w:numId w:val="11"/>
        </w:numPr>
        <w:spacing w:before="144"/>
        <w:ind w:left="851" w:right="-284"/>
        <w:jc w:val="both"/>
      </w:pPr>
      <w:r>
        <w:rPr>
          <w:rFonts w:ascii="Verdana" w:eastAsia="Verdana" w:hAnsi="Verdana" w:cs="Verdana"/>
          <w:lang w:val="tr-TR"/>
        </w:rPr>
        <w:t xml:space="preserve"> </w:t>
      </w:r>
      <w:r>
        <w:rPr>
          <w:rFonts w:ascii="Verdana" w:hAnsi="Verdana" w:cs="Verdana"/>
          <w:lang w:val="tr-TR"/>
        </w:rPr>
        <w:t xml:space="preserve">Se agrega un </w:t>
      </w:r>
      <w:proofErr w:type="spellStart"/>
      <w:r>
        <w:rPr>
          <w:rFonts w:ascii="Verdana" w:hAnsi="Verdana" w:cs="Verdana"/>
          <w:lang w:val="tr-TR"/>
        </w:rPr>
        <w:t>número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revisión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como</w:t>
      </w:r>
      <w:proofErr w:type="spellEnd"/>
      <w:r>
        <w:rPr>
          <w:rFonts w:ascii="Verdana" w:hAnsi="Verdana" w:cs="Verdana"/>
          <w:lang w:val="tr-TR"/>
        </w:rPr>
        <w:t xml:space="preserve"> R</w:t>
      </w:r>
      <w:proofErr w:type="gramStart"/>
      <w:r>
        <w:rPr>
          <w:rFonts w:ascii="Verdana" w:hAnsi="Verdana" w:cs="Verdana"/>
          <w:lang w:val="tr-TR"/>
        </w:rPr>
        <w:t>1,R</w:t>
      </w:r>
      <w:proofErr w:type="gramEnd"/>
      <w:r>
        <w:rPr>
          <w:rFonts w:ascii="Verdana" w:hAnsi="Verdana" w:cs="Verdana"/>
          <w:lang w:val="tr-TR"/>
        </w:rPr>
        <w:t xml:space="preserve">2,... </w:t>
      </w:r>
      <w:proofErr w:type="spellStart"/>
      <w:r>
        <w:rPr>
          <w:rFonts w:ascii="Verdana" w:hAnsi="Verdana" w:cs="Verdana"/>
          <w:lang w:val="tr-TR"/>
        </w:rPr>
        <w:t>junto</w:t>
      </w:r>
      <w:proofErr w:type="spellEnd"/>
      <w:r>
        <w:rPr>
          <w:rFonts w:ascii="Verdana" w:hAnsi="Verdana" w:cs="Verdana"/>
          <w:lang w:val="tr-TR"/>
        </w:rPr>
        <w:t xml:space="preserve"> al </w:t>
      </w:r>
      <w:proofErr w:type="spellStart"/>
      <w:r>
        <w:rPr>
          <w:rFonts w:ascii="Verdana" w:hAnsi="Verdana" w:cs="Verdana"/>
          <w:lang w:val="tr-TR"/>
        </w:rPr>
        <w:t>número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informe</w:t>
      </w:r>
      <w:proofErr w:type="spellEnd"/>
      <w:r>
        <w:rPr>
          <w:rFonts w:ascii="Verdana" w:hAnsi="Verdana" w:cs="Verdana"/>
          <w:lang w:val="tr-TR"/>
        </w:rPr>
        <w:t xml:space="preserve"> y la </w:t>
      </w:r>
      <w:proofErr w:type="spellStart"/>
      <w:r>
        <w:rPr>
          <w:rFonts w:ascii="Verdana" w:hAnsi="Verdana" w:cs="Verdana"/>
          <w:lang w:val="tr-TR"/>
        </w:rPr>
        <w:t>fecha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actualiza</w:t>
      </w:r>
      <w:proofErr w:type="spellEnd"/>
      <w:r>
        <w:rPr>
          <w:rFonts w:ascii="Verdana" w:hAnsi="Verdana" w:cs="Verdana"/>
          <w:lang w:val="tr-TR"/>
        </w:rPr>
        <w:t xml:space="preserve"> en </w:t>
      </w:r>
      <w:proofErr w:type="spellStart"/>
      <w:r>
        <w:rPr>
          <w:rFonts w:ascii="Verdana" w:hAnsi="Verdana" w:cs="Verdana"/>
          <w:lang w:val="tr-TR"/>
        </w:rPr>
        <w:t>consecuencia</w:t>
      </w:r>
      <w:proofErr w:type="spellEnd"/>
      <w:r>
        <w:rPr>
          <w:rFonts w:ascii="Verdana" w:hAnsi="Verdana" w:cs="Verdana"/>
          <w:lang w:val="tr-TR"/>
        </w:rPr>
        <w:t xml:space="preserve">. La </w:t>
      </w:r>
      <w:proofErr w:type="spellStart"/>
      <w:r>
        <w:rPr>
          <w:rFonts w:ascii="Verdana" w:hAnsi="Verdana" w:cs="Verdana"/>
          <w:lang w:val="tr-TR"/>
        </w:rPr>
        <w:t>información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sobre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cambio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proporciona</w:t>
      </w:r>
      <w:proofErr w:type="spellEnd"/>
      <w:r>
        <w:rPr>
          <w:rFonts w:ascii="Verdana" w:hAnsi="Verdana" w:cs="Verdana"/>
          <w:lang w:val="tr-TR"/>
        </w:rPr>
        <w:t xml:space="preserve"> en la </w:t>
      </w:r>
      <w:proofErr w:type="spellStart"/>
      <w:r>
        <w:rPr>
          <w:rFonts w:ascii="Verdana" w:hAnsi="Verdana" w:cs="Verdana"/>
          <w:lang w:val="tr-TR"/>
        </w:rPr>
        <w:t>parte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inferior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informe</w:t>
      </w:r>
      <w:proofErr w:type="spellEnd"/>
      <w:r>
        <w:rPr>
          <w:rFonts w:ascii="Verdana" w:hAnsi="Verdana" w:cs="Verdana"/>
          <w:lang w:val="tr-TR"/>
        </w:rPr>
        <w:t>.</w:t>
      </w:r>
    </w:p>
    <w:p w14:paraId="7B53C26E" w14:textId="77777777" w:rsidR="00432E43" w:rsidRDefault="00000000">
      <w:pPr>
        <w:pStyle w:val="Balk2"/>
        <w:rPr>
          <w:szCs w:val="22"/>
        </w:rPr>
      </w:pPr>
      <w:bookmarkStart w:id="9" w:name="__RefHeading___Toc12375332"/>
      <w:bookmarkEnd w:id="9"/>
      <w:proofErr w:type="spellStart"/>
      <w:r>
        <w:rPr>
          <w:szCs w:val="22"/>
        </w:rPr>
        <w:t>Evaluación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Quejas</w:t>
      </w:r>
      <w:proofErr w:type="spellEnd"/>
    </w:p>
    <w:p w14:paraId="5756EBD2" w14:textId="77777777" w:rsidR="00432E43" w:rsidRDefault="00000000">
      <w:pPr>
        <w:pStyle w:val="Balk3"/>
      </w:pPr>
      <w:bookmarkStart w:id="10" w:name="__RefHeading___Toc12375333"/>
      <w:bookmarkEnd w:id="10"/>
      <w:proofErr w:type="spellStart"/>
      <w:r>
        <w:rPr>
          <w:rFonts w:ascii="Verdana" w:hAnsi="Verdana" w:cs="Verdana"/>
          <w:b/>
          <w:sz w:val="20"/>
        </w:rPr>
        <w:t>Recepción</w:t>
      </w:r>
      <w:proofErr w:type="spellEnd"/>
      <w:r>
        <w:rPr>
          <w:rFonts w:ascii="Verdana" w:hAnsi="Verdana" w:cs="Verdana"/>
          <w:b/>
          <w:sz w:val="20"/>
        </w:rPr>
        <w:t xml:space="preserve"> y </w:t>
      </w:r>
      <w:proofErr w:type="spellStart"/>
      <w:r>
        <w:rPr>
          <w:rFonts w:ascii="Verdana" w:hAnsi="Verdana" w:cs="Verdana"/>
          <w:b/>
          <w:sz w:val="20"/>
        </w:rPr>
        <w:t>procesamiento</w:t>
      </w:r>
      <w:proofErr w:type="spellEnd"/>
      <w:r>
        <w:rPr>
          <w:rFonts w:ascii="Verdana" w:hAnsi="Verdana" w:cs="Verdana"/>
          <w:b/>
          <w:sz w:val="20"/>
        </w:rPr>
        <w:t xml:space="preserve"> de la </w:t>
      </w:r>
      <w:proofErr w:type="spellStart"/>
      <w:r>
        <w:rPr>
          <w:rFonts w:ascii="Verdana" w:hAnsi="Verdana" w:cs="Verdana"/>
          <w:b/>
          <w:sz w:val="20"/>
        </w:rPr>
        <w:t>solicitud</w:t>
      </w:r>
      <w:proofErr w:type="spellEnd"/>
    </w:p>
    <w:p w14:paraId="3CA1CCDA" w14:textId="77777777" w:rsidR="00432E43" w:rsidRDefault="00432E43">
      <w:pPr>
        <w:rPr>
          <w:rFonts w:ascii="Verdana" w:hAnsi="Verdana" w:cs="Verdana"/>
          <w:b/>
        </w:rPr>
      </w:pPr>
    </w:p>
    <w:p w14:paraId="263CA0D0" w14:textId="77777777" w:rsidR="00432E43" w:rsidRDefault="00000000">
      <w:pPr>
        <w:numPr>
          <w:ilvl w:val="0"/>
          <w:numId w:val="9"/>
        </w:numPr>
        <w:ind w:right="-284"/>
        <w:jc w:val="both"/>
      </w:pPr>
      <w:r>
        <w:rPr>
          <w:rFonts w:ascii="Verdana" w:hAnsi="Verdana" w:cs="Verdana"/>
          <w:lang w:val="tr-TR"/>
        </w:rPr>
        <w:t xml:space="preserve">La forma de </w:t>
      </w:r>
      <w:proofErr w:type="spellStart"/>
      <w:r>
        <w:rPr>
          <w:rFonts w:ascii="Verdana" w:hAnsi="Verdana" w:cs="Verdana"/>
          <w:lang w:val="tr-TR"/>
        </w:rPr>
        <w:t>presentar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quejas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anuncia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partes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pertinentes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siguientes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documentos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creados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sobre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base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departamentos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pertinentes</w:t>
      </w:r>
      <w:proofErr w:type="spellEnd"/>
      <w:r>
        <w:rPr>
          <w:rFonts w:ascii="Verdana" w:hAnsi="Verdana" w:cs="Verdana"/>
          <w:lang w:val="tr-TR"/>
        </w:rPr>
        <w:t xml:space="preserve"> y en el </w:t>
      </w:r>
      <w:proofErr w:type="spellStart"/>
      <w:r>
        <w:rPr>
          <w:rFonts w:ascii="Verdana" w:hAnsi="Verdana" w:cs="Verdana"/>
          <w:lang w:val="tr-TR"/>
        </w:rPr>
        <w:t>sitio</w:t>
      </w:r>
      <w:proofErr w:type="spellEnd"/>
      <w:r>
        <w:rPr>
          <w:rFonts w:ascii="Verdana" w:hAnsi="Verdana" w:cs="Verdana"/>
          <w:lang w:val="tr-TR"/>
        </w:rPr>
        <w:t xml:space="preserve"> web de Selecta Global.</w:t>
      </w:r>
    </w:p>
    <w:p w14:paraId="7EF20853" w14:textId="77777777" w:rsidR="00432E43" w:rsidRDefault="00432E43">
      <w:pPr>
        <w:ind w:right="-284"/>
        <w:rPr>
          <w:rFonts w:ascii="Verdana" w:hAnsi="Verdana" w:cs="Verdana"/>
          <w:lang w:val="tr-TR"/>
        </w:rPr>
      </w:pPr>
    </w:p>
    <w:p w14:paraId="26366445" w14:textId="77777777" w:rsidR="00432E43" w:rsidRDefault="00000000">
      <w:pPr>
        <w:ind w:left="567" w:right="-284"/>
      </w:pPr>
      <w:r>
        <w:rPr>
          <w:rFonts w:ascii="Verdana" w:hAnsi="Verdana" w:cs="Verdana"/>
          <w:lang w:val="tr-TR"/>
        </w:rPr>
        <w:t xml:space="preserve">S-1.01-F02 </w:t>
      </w:r>
      <w:proofErr w:type="spellStart"/>
      <w:r>
        <w:rPr>
          <w:rFonts w:ascii="Verdana" w:hAnsi="Verdana" w:cs="Verdana"/>
          <w:lang w:val="tr-TR"/>
        </w:rPr>
        <w:t>Condiciones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Generales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Servicio</w:t>
      </w:r>
      <w:proofErr w:type="spellEnd"/>
    </w:p>
    <w:p w14:paraId="0FB17852" w14:textId="77777777" w:rsidR="00432E43" w:rsidRDefault="00000000">
      <w:pPr>
        <w:pStyle w:val="GvdeMetni"/>
        <w:numPr>
          <w:ilvl w:val="0"/>
          <w:numId w:val="9"/>
        </w:numPr>
        <w:ind w:right="-284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abajo</w:t>
      </w:r>
      <w:r>
        <w:t>pueden</w:t>
      </w:r>
      <w:proofErr w:type="spellEnd"/>
      <w:r>
        <w:t xml:space="preserve"> </w:t>
      </w:r>
      <w:proofErr w:type="spellStart"/>
      <w:r>
        <w:t>provenir</w:t>
      </w:r>
      <w:proofErr w:type="spellEnd"/>
      <w:r>
        <w:t xml:space="preserve"> de </w:t>
      </w:r>
      <w:proofErr w:type="spellStart"/>
      <w:r>
        <w:t>individuos</w:t>
      </w:r>
      <w:proofErr w:type="spellEnd"/>
      <w:r>
        <w:t xml:space="preserve"> y/u </w:t>
      </w:r>
      <w:proofErr w:type="spellStart"/>
      <w:r>
        <w:t>organizaciones</w:t>
      </w:r>
      <w:proofErr w:type="spellEnd"/>
      <w:r>
        <w:t>.</w:t>
      </w:r>
    </w:p>
    <w:tbl>
      <w:tblPr>
        <w:tblW w:w="9211" w:type="dxa"/>
        <w:tblInd w:w="389" w:type="dxa"/>
        <w:tblLayout w:type="fixed"/>
        <w:tblLook w:val="04A0" w:firstRow="1" w:lastRow="0" w:firstColumn="1" w:lastColumn="0" w:noHBand="0" w:noVBand="1"/>
      </w:tblPr>
      <w:tblGrid>
        <w:gridCol w:w="3717"/>
        <w:gridCol w:w="5494"/>
      </w:tblGrid>
      <w:tr w:rsidR="00432E43" w14:paraId="159D7212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FAF" w14:textId="77777777" w:rsidR="00432E43" w:rsidRDefault="00000000">
            <w:pPr>
              <w:pStyle w:val="GvdeMetni"/>
              <w:ind w:right="-284"/>
              <w:jc w:val="center"/>
            </w:pPr>
            <w:r>
              <w:rPr>
                <w:rFonts w:ascii="Verdana" w:eastAsia="Verdana" w:hAnsi="Verdana" w:cs="Verdana"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Departamento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B167" w14:textId="77777777" w:rsidR="00432E43" w:rsidRDefault="00000000">
            <w:pPr>
              <w:pStyle w:val="GvdeMetni"/>
              <w:ind w:right="-284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Solicitante</w:t>
            </w:r>
            <w:proofErr w:type="spellEnd"/>
          </w:p>
        </w:tc>
      </w:tr>
      <w:tr w:rsidR="00432E43" w14:paraId="46515C2F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D21D" w14:textId="77777777" w:rsidR="00432E43" w:rsidRDefault="00000000">
            <w:pPr>
              <w:pStyle w:val="GvdeMetni"/>
              <w:ind w:right="-284"/>
              <w:rPr>
                <w:rFonts w:ascii="Verdana" w:hAnsi="Verdana" w:cs="Verdana"/>
                <w:b/>
                <w:sz w:val="17"/>
                <w:szCs w:val="17"/>
                <w:lang w:val="tr-TR"/>
              </w:rPr>
            </w:pPr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 xml:space="preserve">General (Para </w:t>
            </w:r>
            <w:proofErr w:type="spellStart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>todos</w:t>
            </w:r>
            <w:proofErr w:type="spellEnd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>los</w:t>
            </w:r>
            <w:proofErr w:type="spellEnd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>departamentos</w:t>
            </w:r>
            <w:proofErr w:type="spellEnd"/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780" w14:textId="77777777" w:rsidR="00432E43" w:rsidRDefault="00000000">
            <w:pPr>
              <w:pStyle w:val="GvdeMetni"/>
              <w:ind w:right="-28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Instituciones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públicas</w:t>
            </w:r>
            <w:proofErr w:type="spellEnd"/>
          </w:p>
          <w:p w14:paraId="170F68F5" w14:textId="77777777" w:rsidR="00432E43" w:rsidRDefault="00000000">
            <w:pPr>
              <w:pStyle w:val="GvdeMetni"/>
              <w:ind w:right="-28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Organizaciones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privadas</w:t>
            </w:r>
            <w:proofErr w:type="spellEnd"/>
          </w:p>
          <w:p w14:paraId="453A316E" w14:textId="77777777" w:rsidR="00432E43" w:rsidRDefault="00000000">
            <w:pPr>
              <w:pStyle w:val="GvdeMetni"/>
              <w:ind w:right="-284"/>
              <w:jc w:val="both"/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Clientes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Selecta Global</w:t>
            </w:r>
          </w:p>
          <w:p w14:paraId="64872C2A" w14:textId="77777777" w:rsidR="00432E43" w:rsidRDefault="00000000">
            <w:pPr>
              <w:pStyle w:val="GvdeMetni"/>
              <w:ind w:right="-28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Organismo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acreditación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organismos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autorización</w:t>
            </w:r>
            <w:proofErr w:type="spellEnd"/>
          </w:p>
          <w:p w14:paraId="30B633FB" w14:textId="77777777" w:rsidR="00432E43" w:rsidRDefault="00000000">
            <w:pPr>
              <w:pStyle w:val="GvdeMetni"/>
              <w:ind w:right="-28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Otras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partes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interesadas</w:t>
            </w:r>
            <w:proofErr w:type="spellEnd"/>
          </w:p>
          <w:p w14:paraId="58F4ED2A" w14:textId="77777777" w:rsidR="00432E43" w:rsidRDefault="00000000">
            <w:pPr>
              <w:spacing w:before="14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Organizaciones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que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prestan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Inspección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Servicios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Inspección</w:t>
            </w:r>
            <w:proofErr w:type="spellEnd"/>
          </w:p>
          <w:p w14:paraId="473B3AF3" w14:textId="77777777" w:rsidR="00432E43" w:rsidRDefault="00000000">
            <w:pPr>
              <w:pStyle w:val="GvdeMetni"/>
              <w:ind w:right="-284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Clientes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de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organización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a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que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presta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el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Servicio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Inspección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 xml:space="preserve"> 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 w:eastAsia="tr-TR"/>
              </w:rPr>
              <w:t>Inspección</w:t>
            </w:r>
            <w:proofErr w:type="spellEnd"/>
          </w:p>
        </w:tc>
      </w:tr>
    </w:tbl>
    <w:p w14:paraId="3A4A6418" w14:textId="77777777" w:rsidR="00432E43" w:rsidRDefault="00000000">
      <w:pPr>
        <w:pStyle w:val="GvdeMetni"/>
        <w:numPr>
          <w:ilvl w:val="0"/>
          <w:numId w:val="17"/>
        </w:numPr>
        <w:ind w:left="426" w:right="-142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llegan</w:t>
      </w:r>
      <w:proofErr w:type="spellEnd"/>
      <w:r>
        <w:rPr>
          <w:rFonts w:ascii="Verdana" w:hAnsi="Verdana" w:cs="Verdana"/>
          <w:sz w:val="20"/>
          <w:lang w:val="tr-TR"/>
        </w:rPr>
        <w:t xml:space="preserve"> a Selecta Global no </w:t>
      </w:r>
      <w:proofErr w:type="spellStart"/>
      <w:r>
        <w:rPr>
          <w:rFonts w:ascii="Verdana" w:hAnsi="Verdana" w:cs="Verdana"/>
          <w:sz w:val="20"/>
          <w:lang w:val="tr-TR"/>
        </w:rPr>
        <w:t>están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limitadas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pero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pueden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surgir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como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resultado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siguientes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0"/>
          <w:lang w:val="tr-TR"/>
        </w:rPr>
        <w:t>problemas</w:t>
      </w:r>
      <w:proofErr w:type="spellEnd"/>
      <w:r>
        <w:rPr>
          <w:rFonts w:ascii="Verdana" w:hAnsi="Verdana" w:cs="Verdana"/>
          <w:sz w:val="20"/>
          <w:lang w:val="tr-TR"/>
        </w:rPr>
        <w:t>.</w:t>
      </w:r>
      <w:proofErr w:type="spellStart"/>
      <w:r>
        <w:t>Estos</w:t>
      </w:r>
      <w:proofErr w:type="spellEnd"/>
      <w:proofErr w:type="gramEnd"/>
      <w:r>
        <w:t xml:space="preserve"> </w:t>
      </w:r>
      <w:proofErr w:type="spellStart"/>
      <w:r>
        <w:t>asuntos</w:t>
      </w:r>
      <w:proofErr w:type="spellEnd"/>
      <w:r>
        <w:t xml:space="preserve"> se </w:t>
      </w:r>
      <w:proofErr w:type="spellStart"/>
      <w:r>
        <w:t>consideran</w:t>
      </w:r>
      <w:proofErr w:type="spellEnd"/>
      <w:r>
        <w:t xml:space="preserve"> </w:t>
      </w:r>
      <w:proofErr w:type="spellStart"/>
      <w:r>
        <w:t>quejas</w:t>
      </w:r>
      <w:proofErr w:type="spellEnd"/>
      <w:r>
        <w:t xml:space="preserve"> y se </w:t>
      </w:r>
      <w:proofErr w:type="spellStart"/>
      <w:r>
        <w:t>manejan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consideración</w:t>
      </w:r>
      <w:proofErr w:type="spellEnd"/>
      <w:r>
        <w:t>.</w:t>
      </w:r>
    </w:p>
    <w:tbl>
      <w:tblPr>
        <w:tblW w:w="9211" w:type="dxa"/>
        <w:tblInd w:w="389" w:type="dxa"/>
        <w:tblLayout w:type="fixed"/>
        <w:tblLook w:val="04A0" w:firstRow="1" w:lastRow="0" w:firstColumn="1" w:lastColumn="0" w:noHBand="0" w:noVBand="1"/>
      </w:tblPr>
      <w:tblGrid>
        <w:gridCol w:w="3717"/>
        <w:gridCol w:w="5494"/>
      </w:tblGrid>
      <w:tr w:rsidR="00432E43" w14:paraId="7E05D413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D192" w14:textId="77777777" w:rsidR="00432E43" w:rsidRDefault="00000000">
            <w:pPr>
              <w:pStyle w:val="GvdeMetni"/>
              <w:ind w:right="-284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Departamento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A9D" w14:textId="77777777" w:rsidR="00432E43" w:rsidRDefault="00000000">
            <w:pPr>
              <w:pStyle w:val="GvdeMetni"/>
              <w:ind w:right="-284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Posible</w:t>
            </w:r>
            <w:proofErr w:type="spellEnd"/>
            <w:r>
              <w:rPr>
                <w:rFonts w:ascii="Verdana" w:hAnsi="Verdana" w:cs="Verdana"/>
                <w:b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objeto</w:t>
            </w:r>
            <w:proofErr w:type="spellEnd"/>
            <w:r>
              <w:rPr>
                <w:rFonts w:ascii="Verdana" w:hAnsi="Verdana" w:cs="Verdana"/>
                <w:b/>
                <w:sz w:val="20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queja</w:t>
            </w:r>
            <w:proofErr w:type="spellEnd"/>
          </w:p>
        </w:tc>
      </w:tr>
      <w:tr w:rsidR="00432E43" w14:paraId="70095194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E233" w14:textId="77777777" w:rsidR="00432E43" w:rsidRDefault="00000000">
            <w:pPr>
              <w:pStyle w:val="GvdeMetni"/>
              <w:ind w:right="-284"/>
              <w:rPr>
                <w:rFonts w:ascii="Verdana" w:hAnsi="Verdana" w:cs="Verdana"/>
                <w:b/>
                <w:sz w:val="17"/>
                <w:szCs w:val="17"/>
                <w:lang w:val="tr-TR"/>
              </w:rPr>
            </w:pPr>
            <w:r>
              <w:rPr>
                <w:rFonts w:ascii="Verdana" w:hAnsi="Verdana" w:cs="Verdana"/>
                <w:b/>
                <w:sz w:val="17"/>
                <w:szCs w:val="17"/>
                <w:lang w:val="tr-TR"/>
              </w:rPr>
              <w:t>General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9DC3" w14:textId="77777777" w:rsidR="00432E43" w:rsidRDefault="00000000">
            <w:pPr>
              <w:pStyle w:val="GvdeMetni"/>
              <w:ind w:right="141"/>
              <w:jc w:val="both"/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Solicitud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organismos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acreditación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y/o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autorización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empresas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certificadas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respecto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al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uso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indebido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logotipo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marca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comercial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>,</w:t>
            </w:r>
          </w:p>
          <w:p w14:paraId="55281682" w14:textId="77777777" w:rsidR="00432E43" w:rsidRDefault="00000000">
            <w:pPr>
              <w:pStyle w:val="GvdeMetni"/>
              <w:ind w:right="141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No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aceptación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tarifa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servicio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actividad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realizada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por Selecta Global por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parte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organización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solicitante</w:t>
            </w:r>
            <w:proofErr w:type="spellEnd"/>
          </w:p>
          <w:p w14:paraId="7DF45CCE" w14:textId="77777777" w:rsidR="00432E43" w:rsidRDefault="00000000">
            <w:pPr>
              <w:pStyle w:val="GvdeMetni"/>
              <w:jc w:val="both"/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Actitudes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comportamientos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personal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Selecta Global en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servicio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>,</w:t>
            </w:r>
          </w:p>
          <w:p w14:paraId="2299340A" w14:textId="77777777" w:rsidR="00432E43" w:rsidRDefault="00000000">
            <w:pPr>
              <w:spacing w:before="144"/>
              <w:ind w:right="141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Cumplimiento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del programa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Inspección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Vigilancia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>,</w:t>
            </w:r>
          </w:p>
          <w:p w14:paraId="6A6E1801" w14:textId="77777777" w:rsidR="00432E43" w:rsidRDefault="00000000">
            <w:pPr>
              <w:spacing w:before="144"/>
              <w:ind w:right="141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r>
              <w:rPr>
                <w:rFonts w:ascii="Verdana" w:hAnsi="Verdana" w:cs="Verdana"/>
                <w:sz w:val="17"/>
                <w:szCs w:val="17"/>
                <w:lang w:val="tr-TR"/>
              </w:rPr>
              <w:lastRenderedPageBreak/>
              <w:t xml:space="preserve">El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desempeño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personal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involucrado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en la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actividad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>,</w:t>
            </w:r>
          </w:p>
          <w:p w14:paraId="1C9BDD4B" w14:textId="77777777" w:rsidR="00432E43" w:rsidRDefault="00000000">
            <w:pPr>
              <w:spacing w:before="144"/>
              <w:ind w:right="141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Usuario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del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servicio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producto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queja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terceros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>,</w:t>
            </w:r>
          </w:p>
          <w:p w14:paraId="2285548C" w14:textId="77777777" w:rsidR="00432E43" w:rsidRDefault="00000000">
            <w:pPr>
              <w:spacing w:before="144"/>
              <w:ind w:right="141"/>
              <w:jc w:val="both"/>
              <w:rPr>
                <w:rFonts w:ascii="Verdana" w:hAnsi="Verdana" w:cs="Verdana"/>
                <w:sz w:val="17"/>
                <w:szCs w:val="17"/>
                <w:lang w:val="tr-TR"/>
              </w:rPr>
            </w:pPr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Programa y/o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alcance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Inspección</w:t>
            </w:r>
            <w:proofErr w:type="spellEnd"/>
            <w:r>
              <w:rPr>
                <w:rFonts w:ascii="Verdana" w:hAnsi="Verdana" w:cs="Verdana"/>
                <w:sz w:val="17"/>
                <w:szCs w:val="17"/>
                <w:lang w:val="tr-TR"/>
              </w:rPr>
              <w:t xml:space="preserve"> y </w:t>
            </w:r>
            <w:proofErr w:type="spellStart"/>
            <w:r>
              <w:rPr>
                <w:rFonts w:ascii="Verdana" w:hAnsi="Verdana" w:cs="Verdana"/>
                <w:sz w:val="17"/>
                <w:szCs w:val="17"/>
                <w:lang w:val="tr-TR"/>
              </w:rPr>
              <w:t>Vigilancia</w:t>
            </w:r>
            <w:proofErr w:type="spellEnd"/>
          </w:p>
        </w:tc>
      </w:tr>
    </w:tbl>
    <w:p w14:paraId="308B88FD" w14:textId="77777777" w:rsidR="00432E43" w:rsidRDefault="00432E43">
      <w:pPr>
        <w:pStyle w:val="GvdeMetni"/>
        <w:spacing w:before="72"/>
        <w:ind w:left="709" w:right="-284"/>
        <w:jc w:val="both"/>
        <w:rPr>
          <w:rFonts w:ascii="Verdana" w:hAnsi="Verdana" w:cs="Verdana"/>
          <w:sz w:val="20"/>
          <w:lang w:val="tr-TR"/>
        </w:rPr>
      </w:pPr>
    </w:p>
    <w:p w14:paraId="74130CE0" w14:textId="77777777" w:rsidR="00432E43" w:rsidRDefault="00000000">
      <w:pPr>
        <w:pStyle w:val="GvdeMetni"/>
        <w:numPr>
          <w:ilvl w:val="0"/>
          <w:numId w:val="7"/>
        </w:numPr>
        <w:spacing w:before="72"/>
        <w:ind w:left="709" w:right="-284" w:hanging="283"/>
        <w:jc w:val="both"/>
      </w:pP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clientes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pueden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utilizar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siguientes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métodos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solicitudes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19E1EBB5" w14:textId="77777777" w:rsidR="00432E43" w:rsidRDefault="00000000">
      <w:pPr>
        <w:pStyle w:val="GvdeMetni"/>
        <w:numPr>
          <w:ilvl w:val="0"/>
          <w:numId w:val="15"/>
        </w:numPr>
        <w:spacing w:before="72"/>
        <w:ind w:right="-284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</w:p>
    <w:p w14:paraId="0B1C3BD3" w14:textId="77777777" w:rsidR="00432E43" w:rsidRDefault="00000000">
      <w:pPr>
        <w:pStyle w:val="GvdeMetni"/>
        <w:numPr>
          <w:ilvl w:val="0"/>
          <w:numId w:val="15"/>
        </w:numPr>
        <w:spacing w:before="72"/>
        <w:ind w:right="-284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Verbal</w:t>
      </w:r>
      <w:proofErr w:type="spellEnd"/>
    </w:p>
    <w:p w14:paraId="552FC28D" w14:textId="77777777" w:rsidR="00432E43" w:rsidRDefault="00000000">
      <w:pPr>
        <w:pStyle w:val="GvdeMetni"/>
        <w:numPr>
          <w:ilvl w:val="0"/>
          <w:numId w:val="15"/>
        </w:numPr>
        <w:spacing w:before="72"/>
        <w:ind w:right="-284"/>
        <w:jc w:val="both"/>
        <w:rPr>
          <w:rFonts w:ascii="Verdana" w:hAnsi="Verdana" w:cs="Verdana"/>
          <w:sz w:val="20"/>
          <w:lang w:val="tr-TR"/>
        </w:rPr>
      </w:pPr>
      <w:proofErr w:type="spellStart"/>
      <w:proofErr w:type="gramStart"/>
      <w:r>
        <w:rPr>
          <w:rFonts w:ascii="Verdana" w:hAnsi="Verdana" w:cs="Verdana"/>
          <w:sz w:val="20"/>
          <w:lang w:val="tr-TR"/>
        </w:rPr>
        <w:t>correo</w:t>
      </w:r>
      <w:proofErr w:type="spellEnd"/>
      <w:proofErr w:type="gram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electrónico</w:t>
      </w:r>
      <w:proofErr w:type="spellEnd"/>
    </w:p>
    <w:p w14:paraId="24477E34" w14:textId="77777777" w:rsidR="00432E43" w:rsidRDefault="00000000">
      <w:pPr>
        <w:pStyle w:val="GvdeMetni"/>
        <w:numPr>
          <w:ilvl w:val="0"/>
          <w:numId w:val="15"/>
        </w:numPr>
        <w:spacing w:before="72"/>
        <w:ind w:right="-284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S-1.03-F01 disponible en el </w:t>
      </w:r>
      <w:proofErr w:type="spellStart"/>
      <w:r>
        <w:rPr>
          <w:rFonts w:ascii="Verdana" w:hAnsi="Verdana" w:cs="Verdana"/>
          <w:sz w:val="20"/>
          <w:lang w:val="tr-TR"/>
        </w:rPr>
        <w:t>sitio</w:t>
      </w:r>
      <w:proofErr w:type="spellEnd"/>
      <w:r>
        <w:rPr>
          <w:rFonts w:ascii="Verdana" w:hAnsi="Verdana" w:cs="Verdana"/>
          <w:sz w:val="20"/>
          <w:lang w:val="tr-TR"/>
        </w:rPr>
        <w:t xml:space="preserve"> web www.selectaglobal.com</w:t>
      </w:r>
    </w:p>
    <w:p w14:paraId="65C168B4" w14:textId="77777777" w:rsidR="00432E43" w:rsidRDefault="00000000">
      <w:pPr>
        <w:pStyle w:val="GvdeMetni"/>
        <w:numPr>
          <w:ilvl w:val="0"/>
          <w:numId w:val="10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En </w:t>
      </w:r>
      <w:proofErr w:type="spellStart"/>
      <w:r>
        <w:rPr>
          <w:rFonts w:ascii="Verdana" w:hAnsi="Verdana" w:cs="Verdana"/>
          <w:sz w:val="20"/>
          <w:lang w:val="tr-TR"/>
        </w:rPr>
        <w:t>todas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recepciones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, la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cómo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maneja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cómo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funcionará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concluirá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proceso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envía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denunciante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o por </w:t>
      </w:r>
      <w:proofErr w:type="spellStart"/>
      <w:r>
        <w:rPr>
          <w:rFonts w:ascii="Verdana" w:hAnsi="Verdana" w:cs="Verdana"/>
          <w:sz w:val="20"/>
          <w:lang w:val="tr-TR"/>
        </w:rPr>
        <w:t>correo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electrónico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dentro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24 </w:t>
      </w:r>
      <w:proofErr w:type="spellStart"/>
      <w:r>
        <w:rPr>
          <w:rFonts w:ascii="Verdana" w:hAnsi="Verdana" w:cs="Verdana"/>
          <w:sz w:val="20"/>
          <w:lang w:val="tr-TR"/>
        </w:rPr>
        <w:t>horas</w:t>
      </w:r>
      <w:proofErr w:type="spellEnd"/>
      <w:r>
        <w:rPr>
          <w:rFonts w:ascii="Verdana" w:hAnsi="Verdana" w:cs="Verdana"/>
          <w:sz w:val="20"/>
          <w:lang w:val="tr-TR"/>
        </w:rPr>
        <w:t xml:space="preserve">. </w:t>
      </w:r>
      <w:proofErr w:type="spellStart"/>
      <w:r>
        <w:rPr>
          <w:rFonts w:ascii="Verdana" w:hAnsi="Verdana" w:cs="Verdana"/>
          <w:sz w:val="20"/>
          <w:lang w:val="tr-TR"/>
        </w:rPr>
        <w:t>Esta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notificación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puede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realizar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través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o por </w:t>
      </w:r>
      <w:proofErr w:type="spellStart"/>
      <w:r>
        <w:rPr>
          <w:rFonts w:ascii="Verdana" w:hAnsi="Verdana" w:cs="Verdana"/>
          <w:sz w:val="20"/>
          <w:lang w:val="tr-TR"/>
        </w:rPr>
        <w:t>correo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electrónico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7DABD19" w14:textId="77777777" w:rsidR="00432E43" w:rsidRDefault="00000000">
      <w:pPr>
        <w:pStyle w:val="GvdeMetni"/>
        <w:numPr>
          <w:ilvl w:val="0"/>
          <w:numId w:val="10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envía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donde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origina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fin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garantizar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tomen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medidas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preventivas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resolver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D953DA7" w14:textId="77777777" w:rsidR="00432E43" w:rsidRDefault="00000000">
      <w:pPr>
        <w:pStyle w:val="GvdeMetni"/>
        <w:numPr>
          <w:ilvl w:val="0"/>
          <w:numId w:val="10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Selecta Global </w:t>
      </w:r>
      <w:proofErr w:type="spellStart"/>
      <w:r>
        <w:rPr>
          <w:rFonts w:ascii="Verdana" w:hAnsi="Verdana" w:cs="Verdana"/>
          <w:sz w:val="20"/>
          <w:lang w:val="tr-TR"/>
        </w:rPr>
        <w:t>recopila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toda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necesaria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validar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antes</w:t>
      </w:r>
      <w:proofErr w:type="spellEnd"/>
      <w:r>
        <w:rPr>
          <w:rFonts w:ascii="Verdana" w:hAnsi="Verdana" w:cs="Verdana"/>
          <w:sz w:val="20"/>
          <w:lang w:val="tr-TR"/>
        </w:rPr>
        <w:t xml:space="preserve"> de tomar </w:t>
      </w:r>
      <w:proofErr w:type="spellStart"/>
      <w:r>
        <w:rPr>
          <w:rFonts w:ascii="Verdana" w:hAnsi="Verdana" w:cs="Verdana"/>
          <w:sz w:val="20"/>
          <w:lang w:val="tr-TR"/>
        </w:rPr>
        <w:t>cualquier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respecto</w:t>
      </w:r>
      <w:proofErr w:type="spellEnd"/>
      <w:r>
        <w:rPr>
          <w:rFonts w:ascii="Verdana" w:hAnsi="Verdana" w:cs="Verdana"/>
          <w:sz w:val="20"/>
          <w:lang w:val="tr-TR"/>
        </w:rPr>
        <w:t xml:space="preserve"> a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mediante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entrevistas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pertinentes</w:t>
      </w:r>
      <w:proofErr w:type="spellEnd"/>
      <w:r>
        <w:rPr>
          <w:rFonts w:ascii="Verdana" w:hAnsi="Verdana" w:cs="Verdana"/>
          <w:sz w:val="20"/>
          <w:lang w:val="tr-TR"/>
        </w:rPr>
        <w:t xml:space="preserve">. Se </w:t>
      </w:r>
      <w:proofErr w:type="spellStart"/>
      <w:r>
        <w:rPr>
          <w:rFonts w:ascii="Verdana" w:hAnsi="Verdana" w:cs="Verdana"/>
          <w:sz w:val="20"/>
          <w:lang w:val="tr-TR"/>
        </w:rPr>
        <w:t>verifica</w:t>
      </w:r>
      <w:proofErr w:type="spellEnd"/>
      <w:r>
        <w:rPr>
          <w:rFonts w:ascii="Verdana" w:hAnsi="Verdana" w:cs="Verdana"/>
          <w:sz w:val="20"/>
          <w:lang w:val="tr-TR"/>
        </w:rPr>
        <w:t xml:space="preserve"> si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 o si 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justificado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. Si 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justificado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toma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planificar</w:t>
      </w:r>
      <w:proofErr w:type="spellEnd"/>
      <w:r>
        <w:rPr>
          <w:rFonts w:ascii="Verdana" w:hAnsi="Verdana" w:cs="Verdana"/>
          <w:sz w:val="20"/>
          <w:lang w:val="tr-TR"/>
        </w:rPr>
        <w:t xml:space="preserve"> una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eliminar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16AF3C7" w14:textId="77777777" w:rsidR="00432E43" w:rsidRDefault="00000000">
      <w:pPr>
        <w:pStyle w:val="GvdeMetni"/>
        <w:numPr>
          <w:ilvl w:val="0"/>
          <w:numId w:val="10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Se </w:t>
      </w:r>
      <w:proofErr w:type="spellStart"/>
      <w:r>
        <w:rPr>
          <w:rFonts w:ascii="Verdana" w:hAnsi="Verdana" w:cs="Verdana"/>
          <w:sz w:val="20"/>
          <w:lang w:val="tr-TR"/>
        </w:rPr>
        <w:t>inicia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Preventivas</w:t>
      </w:r>
      <w:proofErr w:type="spellEnd"/>
      <w:r>
        <w:rPr>
          <w:rFonts w:ascii="Verdana" w:hAnsi="Verdana" w:cs="Verdana"/>
          <w:sz w:val="20"/>
          <w:lang w:val="tr-TR"/>
        </w:rPr>
        <w:t xml:space="preserve"> S-0.06.</w:t>
      </w:r>
    </w:p>
    <w:p w14:paraId="0F16F768" w14:textId="77777777" w:rsidR="00432E43" w:rsidRDefault="00000000">
      <w:pPr>
        <w:pStyle w:val="GvdeMetni"/>
        <w:numPr>
          <w:ilvl w:val="0"/>
          <w:numId w:val="10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S-1.03-F01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recolecta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7F1E09A6" w14:textId="77777777" w:rsidR="00432E43" w:rsidRDefault="00000000">
      <w:pPr>
        <w:pStyle w:val="Balk3"/>
        <w:rPr>
          <w:rFonts w:ascii="Verdana" w:hAnsi="Verdana" w:cs="Verdana"/>
          <w:b/>
          <w:sz w:val="20"/>
        </w:rPr>
      </w:pPr>
      <w:bookmarkStart w:id="11" w:name="__RefHeading___Toc12375334"/>
      <w:bookmarkEnd w:id="11"/>
      <w:proofErr w:type="spellStart"/>
      <w:r>
        <w:rPr>
          <w:rFonts w:ascii="Verdana" w:hAnsi="Verdana" w:cs="Verdana"/>
          <w:b/>
          <w:sz w:val="20"/>
        </w:rPr>
        <w:t>Evaluación</w:t>
      </w:r>
      <w:proofErr w:type="spellEnd"/>
      <w:r>
        <w:rPr>
          <w:rFonts w:ascii="Verdana" w:hAnsi="Verdana" w:cs="Verdana"/>
          <w:b/>
          <w:sz w:val="20"/>
        </w:rPr>
        <w:t xml:space="preserve"> y </w:t>
      </w:r>
      <w:proofErr w:type="spellStart"/>
      <w:r>
        <w:rPr>
          <w:rFonts w:ascii="Verdana" w:hAnsi="Verdana" w:cs="Verdana"/>
          <w:b/>
          <w:sz w:val="20"/>
        </w:rPr>
        <w:t>conclusión</w:t>
      </w:r>
      <w:proofErr w:type="spellEnd"/>
      <w:r>
        <w:rPr>
          <w:rFonts w:ascii="Verdana" w:hAnsi="Verdana" w:cs="Verdana"/>
          <w:b/>
          <w:sz w:val="20"/>
        </w:rPr>
        <w:t xml:space="preserve"> de solicitudes</w:t>
      </w:r>
    </w:p>
    <w:p w14:paraId="3E652056" w14:textId="77777777" w:rsidR="00432E43" w:rsidRDefault="00000000">
      <w:pPr>
        <w:pStyle w:val="GvdeMetni"/>
        <w:numPr>
          <w:ilvl w:val="0"/>
          <w:numId w:val="20"/>
        </w:numPr>
        <w:ind w:left="426" w:right="-284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gestores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definidos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artículo</w:t>
      </w:r>
      <w:proofErr w:type="spellEnd"/>
      <w:r>
        <w:rPr>
          <w:rFonts w:ascii="Verdana" w:hAnsi="Verdana" w:cs="Verdana"/>
          <w:sz w:val="20"/>
          <w:lang w:val="tr-TR"/>
        </w:rPr>
        <w:t xml:space="preserve"> 5.2 de este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responsables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investigar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causa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raíz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evaluarla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realizar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finalizarla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89666F9" w14:textId="77777777" w:rsidR="00432E43" w:rsidRDefault="00000000">
      <w:pPr>
        <w:pStyle w:val="GvdeMetni"/>
        <w:numPr>
          <w:ilvl w:val="0"/>
          <w:numId w:val="20"/>
        </w:numPr>
        <w:ind w:left="426" w:right="-284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correspondiente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también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podrá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designar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haya </w:t>
      </w:r>
      <w:proofErr w:type="spellStart"/>
      <w:r>
        <w:rPr>
          <w:rFonts w:ascii="Verdana" w:hAnsi="Verdana" w:cs="Verdana"/>
          <w:sz w:val="20"/>
          <w:lang w:val="tr-TR"/>
        </w:rPr>
        <w:t>intervenido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para la </w:t>
      </w:r>
      <w:proofErr w:type="spellStart"/>
      <w:r>
        <w:rPr>
          <w:rFonts w:ascii="Verdana" w:hAnsi="Verdana" w:cs="Verdana"/>
          <w:sz w:val="20"/>
          <w:lang w:val="tr-TR"/>
        </w:rPr>
        <w:t>resolución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misma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CF92F3B" w14:textId="77777777" w:rsidR="00432E43" w:rsidRDefault="00000000">
      <w:pPr>
        <w:pStyle w:val="GvdeMetni"/>
        <w:numPr>
          <w:ilvl w:val="0"/>
          <w:numId w:val="20"/>
        </w:numPr>
        <w:ind w:left="426" w:right="-284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Si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o 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incluido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;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 </w:t>
      </w:r>
      <w:proofErr w:type="spellStart"/>
      <w:r>
        <w:rPr>
          <w:rFonts w:ascii="Verdana" w:hAnsi="Verdana" w:cs="Verdana"/>
          <w:sz w:val="20"/>
          <w:lang w:val="tr-TR"/>
        </w:rPr>
        <w:t>asigna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otro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donde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origina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ha </w:t>
      </w:r>
      <w:proofErr w:type="spellStart"/>
      <w:r>
        <w:rPr>
          <w:rFonts w:ascii="Verdana" w:hAnsi="Verdana" w:cs="Verdana"/>
          <w:sz w:val="20"/>
          <w:lang w:val="tr-TR"/>
        </w:rPr>
        <w:t>tomado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parte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, y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puede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hacer</w:t>
      </w:r>
      <w:proofErr w:type="spellEnd"/>
      <w:r>
        <w:rPr>
          <w:rFonts w:ascii="Verdana" w:hAnsi="Verdana" w:cs="Verdana"/>
          <w:sz w:val="20"/>
          <w:lang w:val="tr-TR"/>
        </w:rPr>
        <w:t xml:space="preserve"> una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E95BCEF" w14:textId="77777777" w:rsidR="00432E43" w:rsidRDefault="00000000">
      <w:pPr>
        <w:pStyle w:val="GvdeMetni"/>
        <w:numPr>
          <w:ilvl w:val="0"/>
          <w:numId w:val="20"/>
        </w:numPr>
        <w:ind w:left="426" w:right="-284" w:hanging="284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serán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están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involucradas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procesos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resolución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17DCFC7" w14:textId="77777777" w:rsidR="00432E43" w:rsidRDefault="00000000">
      <w:pPr>
        <w:pStyle w:val="GvdeMetni"/>
        <w:numPr>
          <w:ilvl w:val="0"/>
          <w:numId w:val="20"/>
        </w:numPr>
        <w:ind w:left="426" w:right="-284" w:hanging="284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Cuando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considere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podrá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cambiar</w:t>
      </w:r>
      <w:proofErr w:type="spellEnd"/>
      <w:r>
        <w:rPr>
          <w:rFonts w:ascii="Verdana" w:hAnsi="Verdana" w:cs="Verdana"/>
          <w:sz w:val="20"/>
          <w:lang w:val="tr-TR"/>
        </w:rPr>
        <w:t xml:space="preserve"> la persona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realizará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7298CC8C" w14:textId="77777777" w:rsidR="00432E43" w:rsidRDefault="00000000">
      <w:pPr>
        <w:pStyle w:val="GvdeMetni"/>
        <w:numPr>
          <w:ilvl w:val="0"/>
          <w:numId w:val="20"/>
        </w:numPr>
        <w:ind w:left="426" w:right="-426" w:hanging="284"/>
        <w:jc w:val="both"/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cargo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será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investigar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examinar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realizar</w:t>
      </w:r>
      <w:proofErr w:type="spellEnd"/>
      <w:r>
        <w:rPr>
          <w:rFonts w:ascii="Verdana" w:hAnsi="Verdana" w:cs="Verdana"/>
          <w:sz w:val="20"/>
          <w:lang w:val="tr-TR"/>
        </w:rPr>
        <w:t xml:space="preserve"> y dar </w:t>
      </w:r>
      <w:proofErr w:type="spellStart"/>
      <w:r>
        <w:rPr>
          <w:rFonts w:ascii="Verdana" w:hAnsi="Verdana" w:cs="Verdana"/>
          <w:sz w:val="20"/>
          <w:lang w:val="tr-TR"/>
        </w:rPr>
        <w:t>seguimiento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la </w:t>
      </w:r>
      <w:proofErr w:type="spellStart"/>
      <w:r>
        <w:rPr>
          <w:rFonts w:ascii="Verdana" w:hAnsi="Verdana" w:cs="Verdana"/>
          <w:sz w:val="20"/>
          <w:lang w:val="tr-TR"/>
        </w:rPr>
        <w:t>resolución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6AEC0D18" w14:textId="77777777" w:rsidR="00432E43" w:rsidRDefault="00000000">
      <w:pPr>
        <w:pStyle w:val="GvdeMetni"/>
        <w:numPr>
          <w:ilvl w:val="0"/>
          <w:numId w:val="20"/>
        </w:numPr>
        <w:ind w:left="426" w:right="-426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lastRenderedPageBreak/>
        <w:t xml:space="preserve">En el </w:t>
      </w:r>
      <w:proofErr w:type="spellStart"/>
      <w:r>
        <w:rPr>
          <w:rFonts w:ascii="Verdana" w:hAnsi="Verdana" w:cs="Verdana"/>
          <w:sz w:val="20"/>
          <w:lang w:val="tr-TR"/>
        </w:rPr>
        <w:t>proceso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finalización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coopera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7CBF43D5" w14:textId="77777777" w:rsidR="00432E43" w:rsidRDefault="00000000">
      <w:pPr>
        <w:pStyle w:val="GvdeMetni"/>
        <w:numPr>
          <w:ilvl w:val="0"/>
          <w:numId w:val="20"/>
        </w:numPr>
        <w:ind w:left="426" w:right="-426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proceso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monitoreado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sistema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correctivas</w:t>
      </w:r>
      <w:proofErr w:type="spellEnd"/>
      <w:r>
        <w:rPr>
          <w:rFonts w:ascii="Verdana" w:hAnsi="Verdana" w:cs="Verdana"/>
          <w:sz w:val="20"/>
          <w:lang w:val="tr-TR"/>
        </w:rPr>
        <w:t xml:space="preserve">, y se </w:t>
      </w:r>
      <w:proofErr w:type="spellStart"/>
      <w:r>
        <w:rPr>
          <w:rFonts w:ascii="Verdana" w:hAnsi="Verdana" w:cs="Verdana"/>
          <w:sz w:val="20"/>
          <w:lang w:val="tr-TR"/>
        </w:rPr>
        <w:t>realiza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trabajo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  <w:r>
        <w:rPr>
          <w:rFonts w:ascii="Verdana" w:hAnsi="Verdana" w:cs="Verdana"/>
          <w:sz w:val="20"/>
          <w:lang w:val="tr-TR"/>
        </w:rPr>
        <w:t xml:space="preserve">. Se </w:t>
      </w:r>
      <w:proofErr w:type="spellStart"/>
      <w:r>
        <w:rPr>
          <w:rFonts w:ascii="Verdana" w:hAnsi="Verdana" w:cs="Verdana"/>
          <w:sz w:val="20"/>
          <w:lang w:val="tr-TR"/>
        </w:rPr>
        <w:t>inician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preventiva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resolver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09A34CB" w14:textId="77777777" w:rsidR="00432E43" w:rsidRDefault="00000000">
      <w:pPr>
        <w:pStyle w:val="GvdeMetni"/>
        <w:numPr>
          <w:ilvl w:val="0"/>
          <w:numId w:val="20"/>
        </w:numPr>
        <w:ind w:left="426" w:right="-426" w:hanging="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, por su </w:t>
      </w:r>
      <w:proofErr w:type="spellStart"/>
      <w:r>
        <w:rPr>
          <w:rFonts w:ascii="Verdana" w:hAnsi="Verdana" w:cs="Verdana"/>
          <w:sz w:val="20"/>
          <w:lang w:val="tr-TR"/>
        </w:rPr>
        <w:t>parte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realiza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necesarias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realizar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mejoras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sistema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6E837AC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resultados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trabajo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realizado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realizada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enviados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denunciante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correspondiente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especificado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artículo</w:t>
      </w:r>
      <w:proofErr w:type="spellEnd"/>
      <w:r>
        <w:rPr>
          <w:rFonts w:ascii="Verdana" w:hAnsi="Verdana" w:cs="Verdana"/>
          <w:sz w:val="20"/>
          <w:lang w:val="tr-TR"/>
        </w:rPr>
        <w:t xml:space="preserve"> 5.2, de </w:t>
      </w:r>
      <w:proofErr w:type="spellStart"/>
      <w:r>
        <w:rPr>
          <w:rFonts w:ascii="Verdana" w:hAnsi="Verdana" w:cs="Verdana"/>
          <w:sz w:val="20"/>
          <w:lang w:val="tr-TR"/>
        </w:rPr>
        <w:t>conformidad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principios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confidencialidad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5AC98DA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La </w:t>
      </w:r>
      <w:proofErr w:type="spellStart"/>
      <w:r>
        <w:rPr>
          <w:rFonts w:ascii="Verdana" w:hAnsi="Verdana" w:cs="Verdana"/>
          <w:sz w:val="20"/>
          <w:lang w:val="tr-TR"/>
        </w:rPr>
        <w:t>investigación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la </w:t>
      </w:r>
      <w:proofErr w:type="spellStart"/>
      <w:r>
        <w:rPr>
          <w:rFonts w:ascii="Verdana" w:hAnsi="Verdana" w:cs="Verdana"/>
          <w:sz w:val="20"/>
          <w:lang w:val="tr-TR"/>
        </w:rPr>
        <w:t>respuesta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deben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completarse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dentro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10 </w:t>
      </w:r>
      <w:proofErr w:type="spellStart"/>
      <w:r>
        <w:rPr>
          <w:rFonts w:ascii="Verdana" w:hAnsi="Verdana" w:cs="Verdana"/>
          <w:sz w:val="20"/>
          <w:lang w:val="tr-TR"/>
        </w:rPr>
        <w:t>días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partir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fecha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970B517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Si la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</w:t>
      </w:r>
      <w:proofErr w:type="spellEnd"/>
      <w:r>
        <w:rPr>
          <w:rFonts w:ascii="Verdana" w:hAnsi="Verdana" w:cs="Verdana"/>
          <w:sz w:val="20"/>
          <w:lang w:val="tr-TR"/>
        </w:rPr>
        <w:t xml:space="preserve"> a tomar </w:t>
      </w:r>
      <w:proofErr w:type="spellStart"/>
      <w:r>
        <w:rPr>
          <w:rFonts w:ascii="Verdana" w:hAnsi="Verdana" w:cs="Verdana"/>
          <w:sz w:val="20"/>
          <w:lang w:val="tr-TR"/>
        </w:rPr>
        <w:t>requiere</w:t>
      </w:r>
      <w:proofErr w:type="spellEnd"/>
      <w:r>
        <w:rPr>
          <w:rFonts w:ascii="Verdana" w:hAnsi="Verdana" w:cs="Verdana"/>
          <w:sz w:val="20"/>
          <w:lang w:val="tr-TR"/>
        </w:rPr>
        <w:t xml:space="preserve"> un </w:t>
      </w:r>
      <w:proofErr w:type="spellStart"/>
      <w:r>
        <w:rPr>
          <w:rFonts w:ascii="Verdana" w:hAnsi="Verdana" w:cs="Verdana"/>
          <w:sz w:val="20"/>
          <w:lang w:val="tr-TR"/>
        </w:rPr>
        <w:t>tiempo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mayor</w:t>
      </w:r>
      <w:proofErr w:type="spellEnd"/>
      <w:r>
        <w:rPr>
          <w:rFonts w:ascii="Verdana" w:hAnsi="Verdana" w:cs="Verdana"/>
          <w:sz w:val="20"/>
          <w:lang w:val="tr-TR"/>
        </w:rPr>
        <w:t xml:space="preserve"> y se </w:t>
      </w:r>
      <w:proofErr w:type="spellStart"/>
      <w:r>
        <w:rPr>
          <w:rFonts w:ascii="Verdana" w:hAnsi="Verdana" w:cs="Verdana"/>
          <w:sz w:val="20"/>
          <w:lang w:val="tr-TR"/>
        </w:rPr>
        <w:t>conoce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situación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anticipación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informa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denunciante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o por </w:t>
      </w:r>
      <w:proofErr w:type="spellStart"/>
      <w:r>
        <w:rPr>
          <w:rFonts w:ascii="Verdana" w:hAnsi="Verdana" w:cs="Verdana"/>
          <w:sz w:val="20"/>
          <w:lang w:val="tr-TR"/>
        </w:rPr>
        <w:t>correo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electrónico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parte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Oficina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Oficial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3E021A6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Si el </w:t>
      </w:r>
      <w:proofErr w:type="spellStart"/>
      <w:r>
        <w:rPr>
          <w:rFonts w:ascii="Verdana" w:hAnsi="Verdana" w:cs="Verdana"/>
          <w:sz w:val="20"/>
          <w:lang w:val="tr-TR"/>
        </w:rPr>
        <w:t>querellante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acepta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resultado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correctiva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basada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lo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notifica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,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remite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una </w:t>
      </w:r>
      <w:proofErr w:type="spellStart"/>
      <w:r>
        <w:rPr>
          <w:rFonts w:ascii="Verdana" w:hAnsi="Verdana" w:cs="Verdana"/>
          <w:sz w:val="20"/>
          <w:lang w:val="tr-TR"/>
        </w:rPr>
        <w:t>reevaluación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toma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decisiones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877C587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a ser </w:t>
      </w:r>
      <w:proofErr w:type="spellStart"/>
      <w:r>
        <w:rPr>
          <w:rFonts w:ascii="Verdana" w:hAnsi="Verdana" w:cs="Verdana"/>
          <w:sz w:val="20"/>
          <w:lang w:val="tr-TR"/>
        </w:rPr>
        <w:t>comunicada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denunciante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hecha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revisada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aprobada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están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involucradas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asuntos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5E1BF49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Selecta Global </w:t>
      </w:r>
      <w:proofErr w:type="spellStart"/>
      <w:r>
        <w:rPr>
          <w:rFonts w:ascii="Verdana" w:hAnsi="Verdana" w:cs="Verdana"/>
          <w:sz w:val="20"/>
          <w:lang w:val="tr-TR"/>
        </w:rPr>
        <w:t>decide</w:t>
      </w:r>
      <w:proofErr w:type="spellEnd"/>
      <w:r>
        <w:rPr>
          <w:rFonts w:ascii="Verdana" w:hAnsi="Verdana" w:cs="Verdana"/>
          <w:sz w:val="20"/>
          <w:lang w:val="tr-TR"/>
        </w:rPr>
        <w:t xml:space="preserve"> si se </w:t>
      </w:r>
      <w:proofErr w:type="spellStart"/>
      <w:r>
        <w:rPr>
          <w:rFonts w:ascii="Verdana" w:hAnsi="Verdana" w:cs="Verdana"/>
          <w:sz w:val="20"/>
          <w:lang w:val="tr-TR"/>
        </w:rPr>
        <w:t>hará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público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y su </w:t>
      </w:r>
      <w:proofErr w:type="spellStart"/>
      <w:r>
        <w:rPr>
          <w:rFonts w:ascii="Verdana" w:hAnsi="Verdana" w:cs="Verdana"/>
          <w:sz w:val="20"/>
          <w:lang w:val="tr-TR"/>
        </w:rPr>
        <w:t>solución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y en </w:t>
      </w:r>
      <w:proofErr w:type="spellStart"/>
      <w:r>
        <w:rPr>
          <w:rFonts w:ascii="Verdana" w:hAnsi="Verdana" w:cs="Verdana"/>
          <w:sz w:val="20"/>
          <w:lang w:val="tr-TR"/>
        </w:rPr>
        <w:t>caso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afirmativo</w:t>
      </w:r>
      <w:proofErr w:type="spellEnd"/>
      <w:r>
        <w:rPr>
          <w:rFonts w:ascii="Verdana" w:hAnsi="Verdana" w:cs="Verdana"/>
          <w:sz w:val="20"/>
          <w:lang w:val="tr-TR"/>
        </w:rPr>
        <w:t xml:space="preserve">, en </w:t>
      </w:r>
      <w:proofErr w:type="spellStart"/>
      <w:r>
        <w:rPr>
          <w:rFonts w:ascii="Verdana" w:hAnsi="Verdana" w:cs="Verdana"/>
          <w:sz w:val="20"/>
          <w:lang w:val="tr-TR"/>
        </w:rPr>
        <w:t>qué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medida</w:t>
      </w:r>
      <w:proofErr w:type="spellEnd"/>
      <w:r>
        <w:rPr>
          <w:rFonts w:ascii="Verdana" w:hAnsi="Verdana" w:cs="Verdana"/>
          <w:sz w:val="20"/>
          <w:lang w:val="tr-TR"/>
        </w:rPr>
        <w:t xml:space="preserve">, a </w:t>
      </w:r>
      <w:proofErr w:type="spellStart"/>
      <w:r>
        <w:rPr>
          <w:rFonts w:ascii="Verdana" w:hAnsi="Verdana" w:cs="Verdana"/>
          <w:sz w:val="20"/>
          <w:lang w:val="tr-TR"/>
        </w:rPr>
        <w:t>través</w:t>
      </w:r>
      <w:proofErr w:type="spellEnd"/>
      <w:r>
        <w:rPr>
          <w:rFonts w:ascii="Verdana" w:hAnsi="Verdana" w:cs="Verdana"/>
          <w:sz w:val="20"/>
          <w:lang w:val="tr-TR"/>
        </w:rPr>
        <w:t xml:space="preserve"> de una </w:t>
      </w:r>
      <w:proofErr w:type="spellStart"/>
      <w:r>
        <w:rPr>
          <w:rFonts w:ascii="Verdana" w:hAnsi="Verdana" w:cs="Verdana"/>
          <w:sz w:val="20"/>
          <w:lang w:val="tr-TR"/>
        </w:rPr>
        <w:t>reunión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tripartita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denunciante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07414EF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Esta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registra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acta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reunión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S-0.04-F02, y se </w:t>
      </w:r>
      <w:proofErr w:type="spellStart"/>
      <w:r>
        <w:rPr>
          <w:rFonts w:ascii="Verdana" w:hAnsi="Verdana" w:cs="Verdana"/>
          <w:sz w:val="20"/>
          <w:lang w:val="tr-TR"/>
        </w:rPr>
        <w:t>toma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4053DE41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Selecta Global es </w:t>
      </w:r>
      <w:proofErr w:type="spellStart"/>
      <w:r>
        <w:rPr>
          <w:rFonts w:ascii="Verdana" w:hAnsi="Verdana" w:cs="Verdana"/>
          <w:sz w:val="20"/>
          <w:lang w:val="tr-TR"/>
        </w:rPr>
        <w:t>responsable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investigar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recopilar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evaluar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toda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e </w:t>
      </w:r>
      <w:proofErr w:type="spellStart"/>
      <w:r>
        <w:rPr>
          <w:rFonts w:ascii="Verdana" w:hAnsi="Verdana" w:cs="Verdana"/>
          <w:sz w:val="20"/>
          <w:lang w:val="tr-TR"/>
        </w:rPr>
        <w:t>informar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problema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6C823DC0" w14:textId="77777777" w:rsidR="00432E43" w:rsidRDefault="00000000">
      <w:pPr>
        <w:pStyle w:val="GvdeMetni"/>
        <w:numPr>
          <w:ilvl w:val="0"/>
          <w:numId w:val="12"/>
        </w:numPr>
        <w:ind w:left="426" w:right="-426"/>
        <w:jc w:val="both"/>
      </w:pPr>
      <w:r>
        <w:rPr>
          <w:rFonts w:ascii="Verdana" w:hAnsi="Verdana" w:cs="Verdana"/>
          <w:sz w:val="20"/>
          <w:lang w:val="tr-TR"/>
        </w:rPr>
        <w:t xml:space="preserve">Si la </w:t>
      </w:r>
      <w:proofErr w:type="spellStart"/>
      <w:r>
        <w:rPr>
          <w:rFonts w:ascii="Verdana" w:hAnsi="Verdana" w:cs="Verdana"/>
          <w:sz w:val="20"/>
          <w:lang w:val="tr-TR"/>
        </w:rPr>
        <w:t>denuncia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informes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Global; El primer </w:t>
      </w:r>
      <w:proofErr w:type="spellStart"/>
      <w:r>
        <w:rPr>
          <w:rFonts w:ascii="Verdana" w:hAnsi="Verdana" w:cs="Verdana"/>
          <w:sz w:val="20"/>
          <w:lang w:val="tr-TR"/>
        </w:rPr>
        <w:t>informe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enviado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podrá</w:t>
      </w:r>
      <w:proofErr w:type="spellEnd"/>
      <w:r>
        <w:rPr>
          <w:rFonts w:ascii="Verdana" w:hAnsi="Verdana" w:cs="Verdana"/>
          <w:sz w:val="20"/>
          <w:lang w:val="tr-TR"/>
        </w:rPr>
        <w:t xml:space="preserve"> ser </w:t>
      </w:r>
      <w:proofErr w:type="spellStart"/>
      <w:r>
        <w:rPr>
          <w:rFonts w:ascii="Verdana" w:hAnsi="Verdana" w:cs="Verdana"/>
          <w:sz w:val="20"/>
          <w:lang w:val="tr-TR"/>
        </w:rPr>
        <w:t>cancelado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antes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finalización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denuncia-demanda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análisis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trabajo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inapropiado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trabajo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B87DC4B" w14:textId="77777777" w:rsidR="00432E43" w:rsidRDefault="00000000">
      <w:pPr>
        <w:pStyle w:val="Balk2"/>
      </w:pPr>
      <w:bookmarkStart w:id="12" w:name="__RefHeading___Toc12375335"/>
      <w:bookmarkEnd w:id="12"/>
      <w:proofErr w:type="spellStart"/>
      <w:r>
        <w:t>Evaluación</w:t>
      </w:r>
      <w:proofErr w:type="spellEnd"/>
      <w:r>
        <w:t xml:space="preserve"> de </w:t>
      </w:r>
      <w:proofErr w:type="spellStart"/>
      <w:r>
        <w:t>Objeciones</w:t>
      </w:r>
      <w:proofErr w:type="spellEnd"/>
    </w:p>
    <w:p w14:paraId="061B18AB" w14:textId="77777777" w:rsidR="00432E43" w:rsidRDefault="00000000">
      <w:pPr>
        <w:pStyle w:val="Balk3"/>
      </w:pPr>
      <w:bookmarkStart w:id="13" w:name="__RefHeading___Toc12375336"/>
      <w:bookmarkEnd w:id="13"/>
      <w:proofErr w:type="spellStart"/>
      <w:r>
        <w:rPr>
          <w:rFonts w:ascii="Verdana" w:hAnsi="Verdana" w:cs="Verdana"/>
          <w:b/>
          <w:sz w:val="20"/>
        </w:rPr>
        <w:t>Recepción</w:t>
      </w:r>
      <w:proofErr w:type="spellEnd"/>
      <w:r>
        <w:rPr>
          <w:rFonts w:ascii="Verdana" w:hAnsi="Verdana" w:cs="Verdana"/>
          <w:b/>
          <w:sz w:val="20"/>
        </w:rPr>
        <w:t xml:space="preserve"> y </w:t>
      </w:r>
      <w:proofErr w:type="spellStart"/>
      <w:r>
        <w:rPr>
          <w:rFonts w:ascii="Verdana" w:hAnsi="Verdana" w:cs="Verdana"/>
          <w:b/>
          <w:sz w:val="20"/>
        </w:rPr>
        <w:t>procesamiento</w:t>
      </w:r>
      <w:proofErr w:type="spellEnd"/>
      <w:r>
        <w:rPr>
          <w:rFonts w:ascii="Verdana" w:hAnsi="Verdana" w:cs="Verdana"/>
          <w:b/>
          <w:sz w:val="20"/>
        </w:rPr>
        <w:t xml:space="preserve"> de la </w:t>
      </w:r>
      <w:proofErr w:type="spellStart"/>
      <w:r>
        <w:rPr>
          <w:rFonts w:ascii="Verdana" w:hAnsi="Verdana" w:cs="Verdana"/>
          <w:b/>
          <w:sz w:val="20"/>
        </w:rPr>
        <w:t>solicitud</w:t>
      </w:r>
      <w:proofErr w:type="spellEnd"/>
    </w:p>
    <w:p w14:paraId="588E0F6B" w14:textId="77777777" w:rsidR="00432E43" w:rsidRDefault="00432E43">
      <w:pPr>
        <w:rPr>
          <w:rFonts w:ascii="Verdana" w:hAnsi="Verdana" w:cs="Verdana"/>
          <w:b/>
        </w:rPr>
      </w:pPr>
    </w:p>
    <w:p w14:paraId="5CF257A8" w14:textId="77777777" w:rsidR="00432E43" w:rsidRDefault="00000000">
      <w:pPr>
        <w:numPr>
          <w:ilvl w:val="0"/>
          <w:numId w:val="9"/>
        </w:numPr>
        <w:ind w:right="-284"/>
        <w:jc w:val="both"/>
      </w:pPr>
      <w:r>
        <w:rPr>
          <w:rFonts w:ascii="Verdana" w:hAnsi="Verdana" w:cs="Verdana"/>
          <w:lang w:val="tr-TR"/>
        </w:rPr>
        <w:t xml:space="preserve">Se </w:t>
      </w:r>
      <w:proofErr w:type="spellStart"/>
      <w:r>
        <w:rPr>
          <w:rFonts w:ascii="Verdana" w:hAnsi="Verdana" w:cs="Verdana"/>
          <w:lang w:val="tr-TR"/>
        </w:rPr>
        <w:t>anuncia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cómo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realizar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solicitudes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partes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relevantes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siguientes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documentos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creados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sobre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base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departamentos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relevantes</w:t>
      </w:r>
      <w:proofErr w:type="spellEnd"/>
      <w:r>
        <w:rPr>
          <w:rFonts w:ascii="Verdana" w:hAnsi="Verdana" w:cs="Verdana"/>
          <w:lang w:val="tr-TR"/>
        </w:rPr>
        <w:t xml:space="preserve"> y en el </w:t>
      </w:r>
      <w:proofErr w:type="spellStart"/>
      <w:r>
        <w:rPr>
          <w:rFonts w:ascii="Verdana" w:hAnsi="Verdana" w:cs="Verdana"/>
          <w:lang w:val="tr-TR"/>
        </w:rPr>
        <w:t>sitio</w:t>
      </w:r>
      <w:proofErr w:type="spellEnd"/>
      <w:r>
        <w:rPr>
          <w:rFonts w:ascii="Verdana" w:hAnsi="Verdana" w:cs="Verdana"/>
          <w:lang w:val="tr-TR"/>
        </w:rPr>
        <w:t xml:space="preserve"> web de Selecta Global.</w:t>
      </w:r>
    </w:p>
    <w:p w14:paraId="5819B56D" w14:textId="77777777" w:rsidR="00432E43" w:rsidRDefault="00432E43">
      <w:pPr>
        <w:ind w:right="-284"/>
        <w:rPr>
          <w:rFonts w:ascii="Verdana" w:hAnsi="Verdana" w:cs="Verdana"/>
          <w:lang w:val="tr-TR"/>
        </w:rPr>
      </w:pPr>
    </w:p>
    <w:p w14:paraId="6D51F7ED" w14:textId="77777777" w:rsidR="00432E43" w:rsidRDefault="00000000">
      <w:pPr>
        <w:ind w:left="567" w:right="-284"/>
      </w:pPr>
      <w:r>
        <w:rPr>
          <w:rFonts w:ascii="Verdana" w:hAnsi="Verdana" w:cs="Verdana"/>
          <w:lang w:val="tr-TR"/>
        </w:rPr>
        <w:t xml:space="preserve">S-1.01- F02 </w:t>
      </w:r>
      <w:proofErr w:type="spellStart"/>
      <w:r>
        <w:rPr>
          <w:rFonts w:ascii="Verdana" w:hAnsi="Verdana" w:cs="Verdana"/>
          <w:lang w:val="tr-TR"/>
        </w:rPr>
        <w:t>Condiciones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Generales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Servicio</w:t>
      </w:r>
      <w:proofErr w:type="spellEnd"/>
    </w:p>
    <w:p w14:paraId="7CA13D6C" w14:textId="77777777" w:rsidR="00432E43" w:rsidRDefault="00432E43">
      <w:pPr>
        <w:ind w:left="426"/>
        <w:rPr>
          <w:rFonts w:ascii="Verdana" w:hAnsi="Verdana" w:cs="Verdana"/>
          <w:lang w:val="tr-TR"/>
        </w:rPr>
      </w:pPr>
    </w:p>
    <w:p w14:paraId="50BE6207" w14:textId="77777777" w:rsidR="00432E43" w:rsidRDefault="00000000">
      <w:pPr>
        <w:numPr>
          <w:ilvl w:val="0"/>
          <w:numId w:val="6"/>
        </w:numPr>
        <w:ind w:left="426" w:right="-426"/>
        <w:rPr>
          <w:rFonts w:ascii="Verdana" w:hAnsi="Verdana" w:cs="Verdana"/>
        </w:rPr>
      </w:pPr>
      <w:r>
        <w:rPr>
          <w:rFonts w:ascii="Verdana" w:hAnsi="Verdana" w:cs="Verdana"/>
        </w:rPr>
        <w:t xml:space="preserve">Las solicitudes, que </w:t>
      </w:r>
      <w:proofErr w:type="spellStart"/>
      <w:r>
        <w:rPr>
          <w:rFonts w:ascii="Verdana" w:hAnsi="Verdana" w:cs="Verdana"/>
        </w:rPr>
        <w:t>incluyen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pero</w:t>
      </w:r>
      <w:proofErr w:type="spellEnd"/>
      <w:r>
        <w:rPr>
          <w:rFonts w:ascii="Verdana" w:hAnsi="Verdana" w:cs="Verdana"/>
        </w:rPr>
        <w:t xml:space="preserve"> no se </w:t>
      </w:r>
      <w:proofErr w:type="spellStart"/>
      <w:r>
        <w:rPr>
          <w:rFonts w:ascii="Verdana" w:hAnsi="Verdana" w:cs="Verdana"/>
        </w:rPr>
        <w:t>limitan</w:t>
      </w:r>
      <w:proofErr w:type="spellEnd"/>
      <w:r>
        <w:rPr>
          <w:rFonts w:ascii="Verdana" w:hAnsi="Verdana" w:cs="Verdana"/>
        </w:rPr>
        <w:t xml:space="preserve"> a </w:t>
      </w:r>
      <w:proofErr w:type="spellStart"/>
      <w:r>
        <w:rPr>
          <w:rFonts w:ascii="Verdana" w:hAnsi="Verdana" w:cs="Verdana"/>
        </w:rPr>
        <w:t>los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siguientes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temas</w:t>
      </w:r>
      <w:proofErr w:type="spellEnd"/>
      <w:r>
        <w:rPr>
          <w:rFonts w:ascii="Verdana" w:hAnsi="Verdana" w:cs="Verdana"/>
        </w:rPr>
        <w:t xml:space="preserve">, se </w:t>
      </w:r>
      <w:proofErr w:type="spellStart"/>
      <w:r>
        <w:rPr>
          <w:rFonts w:ascii="Verdana" w:hAnsi="Verdana" w:cs="Verdana"/>
        </w:rPr>
        <w:t>consideran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objeciones</w:t>
      </w:r>
      <w:proofErr w:type="spellEnd"/>
      <w:r>
        <w:rPr>
          <w:rFonts w:ascii="Verdana" w:hAnsi="Verdana" w:cs="Verdana"/>
        </w:rPr>
        <w:t>.</w:t>
      </w:r>
    </w:p>
    <w:p w14:paraId="32C381E2" w14:textId="77777777" w:rsidR="00432E43" w:rsidRDefault="00432E43">
      <w:pPr>
        <w:ind w:left="426" w:right="-426"/>
        <w:rPr>
          <w:rFonts w:ascii="Verdana" w:hAnsi="Verdana" w:cs="Verdana"/>
        </w:rPr>
      </w:pPr>
    </w:p>
    <w:p w14:paraId="115A7EB1" w14:textId="77777777" w:rsidR="00432E43" w:rsidRDefault="00000000">
      <w:pPr>
        <w:numPr>
          <w:ilvl w:val="0"/>
          <w:numId w:val="5"/>
        </w:numPr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lastRenderedPageBreak/>
        <w:t xml:space="preserve">No dar una </w:t>
      </w:r>
      <w:proofErr w:type="spellStart"/>
      <w:r>
        <w:rPr>
          <w:rFonts w:ascii="Verdana" w:hAnsi="Verdana" w:cs="Verdana"/>
          <w:lang w:val="tr-TR"/>
        </w:rPr>
        <w:t>respuesta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positiva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todo</w:t>
      </w:r>
      <w:proofErr w:type="spellEnd"/>
      <w:r>
        <w:rPr>
          <w:rFonts w:ascii="Verdana" w:hAnsi="Verdana" w:cs="Verdana"/>
          <w:lang w:val="tr-TR"/>
        </w:rPr>
        <w:t xml:space="preserve"> o </w:t>
      </w:r>
      <w:proofErr w:type="spellStart"/>
      <w:r>
        <w:rPr>
          <w:rFonts w:ascii="Verdana" w:hAnsi="Verdana" w:cs="Verdana"/>
          <w:lang w:val="tr-TR"/>
        </w:rPr>
        <w:t>parte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alcance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aplicado</w:t>
      </w:r>
      <w:proofErr w:type="spellEnd"/>
      <w:r>
        <w:rPr>
          <w:rFonts w:ascii="Verdana" w:hAnsi="Verdana" w:cs="Verdana"/>
          <w:lang w:val="tr-TR"/>
        </w:rPr>
        <w:t xml:space="preserve"> (al final del </w:t>
      </w:r>
      <w:proofErr w:type="spellStart"/>
      <w:r>
        <w:rPr>
          <w:rFonts w:ascii="Verdana" w:hAnsi="Verdana" w:cs="Verdana"/>
          <w:lang w:val="tr-TR"/>
        </w:rPr>
        <w:t>proceso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solicitud</w:t>
      </w:r>
      <w:proofErr w:type="spellEnd"/>
      <w:r>
        <w:rPr>
          <w:rFonts w:ascii="Verdana" w:hAnsi="Verdana" w:cs="Verdana"/>
          <w:lang w:val="tr-TR"/>
        </w:rPr>
        <w:t xml:space="preserve"> o </w:t>
      </w:r>
      <w:proofErr w:type="spellStart"/>
      <w:r>
        <w:rPr>
          <w:rFonts w:ascii="Verdana" w:hAnsi="Verdana" w:cs="Verdana"/>
          <w:lang w:val="tr-TR"/>
        </w:rPr>
        <w:t>evaluación</w:t>
      </w:r>
      <w:proofErr w:type="spellEnd"/>
      <w:r>
        <w:rPr>
          <w:rFonts w:ascii="Verdana" w:hAnsi="Verdana" w:cs="Verdana"/>
          <w:lang w:val="tr-TR"/>
        </w:rPr>
        <w:t>)</w:t>
      </w:r>
    </w:p>
    <w:p w14:paraId="57BAF9A2" w14:textId="77777777" w:rsidR="00432E43" w:rsidRDefault="00000000">
      <w:pPr>
        <w:numPr>
          <w:ilvl w:val="0"/>
          <w:numId w:val="5"/>
        </w:numPr>
      </w:pPr>
      <w:proofErr w:type="spellStart"/>
      <w:r>
        <w:rPr>
          <w:rFonts w:ascii="Verdana" w:hAnsi="Verdana" w:cs="Verdana"/>
          <w:lang w:val="tr-TR"/>
        </w:rPr>
        <w:t>Documentos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informes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etc</w:t>
      </w:r>
      <w:proofErr w:type="spellEnd"/>
      <w:r>
        <w:rPr>
          <w:rFonts w:ascii="Verdana" w:hAnsi="Verdana" w:cs="Verdana"/>
          <w:lang w:val="tr-TR"/>
        </w:rPr>
        <w:t xml:space="preserve">. </w:t>
      </w:r>
      <w:proofErr w:type="gramStart"/>
      <w:r>
        <w:rPr>
          <w:rFonts w:ascii="Verdana" w:hAnsi="Verdana" w:cs="Verdana"/>
          <w:lang w:val="tr-TR"/>
        </w:rPr>
        <w:t>no</w:t>
      </w:r>
      <w:proofErr w:type="gram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regulado</w:t>
      </w:r>
      <w:proofErr w:type="spellEnd"/>
    </w:p>
    <w:p w14:paraId="3B079192" w14:textId="77777777" w:rsidR="00432E43" w:rsidRDefault="00000000">
      <w:pPr>
        <w:numPr>
          <w:ilvl w:val="0"/>
          <w:numId w:val="5"/>
        </w:numPr>
        <w:rPr>
          <w:rFonts w:ascii="Verdana" w:hAnsi="Verdana" w:cs="Verdana"/>
          <w:lang w:val="tr-TR"/>
        </w:rPr>
      </w:pPr>
      <w:proofErr w:type="spellStart"/>
      <w:r>
        <w:rPr>
          <w:rFonts w:ascii="Verdana" w:hAnsi="Verdana" w:cs="Verdana"/>
          <w:lang w:val="tr-TR"/>
        </w:rPr>
        <w:t>Alcance</w:t>
      </w:r>
      <w:proofErr w:type="spellEnd"/>
    </w:p>
    <w:p w14:paraId="2C686016" w14:textId="77777777" w:rsidR="00432E43" w:rsidRDefault="00000000">
      <w:pPr>
        <w:numPr>
          <w:ilvl w:val="0"/>
          <w:numId w:val="5"/>
        </w:numPr>
        <w:rPr>
          <w:rFonts w:ascii="Verdana" w:hAnsi="Verdana" w:cs="Verdana"/>
          <w:lang w:val="tr-TR"/>
        </w:rPr>
      </w:pPr>
      <w:proofErr w:type="spellStart"/>
      <w:r>
        <w:rPr>
          <w:rFonts w:ascii="Verdana" w:hAnsi="Verdana" w:cs="Verdana"/>
          <w:lang w:val="tr-TR"/>
        </w:rPr>
        <w:t>Suspensión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cancelación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documento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informe</w:t>
      </w:r>
      <w:proofErr w:type="spellEnd"/>
    </w:p>
    <w:p w14:paraId="3B3B01DC" w14:textId="77777777" w:rsidR="00432E43" w:rsidRDefault="00000000">
      <w:pPr>
        <w:numPr>
          <w:ilvl w:val="0"/>
          <w:numId w:val="5"/>
        </w:numPr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La </w:t>
      </w:r>
      <w:proofErr w:type="spellStart"/>
      <w:r>
        <w:rPr>
          <w:rFonts w:ascii="Verdana" w:hAnsi="Verdana" w:cs="Verdana"/>
          <w:lang w:val="tr-TR"/>
        </w:rPr>
        <w:t>decisión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tomada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como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resultado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revisión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denuncia</w:t>
      </w:r>
      <w:proofErr w:type="spellEnd"/>
      <w:r>
        <w:rPr>
          <w:rFonts w:ascii="Verdana" w:hAnsi="Verdana" w:cs="Verdana"/>
          <w:lang w:val="tr-TR"/>
        </w:rPr>
        <w:t xml:space="preserve"> no es </w:t>
      </w:r>
      <w:proofErr w:type="spellStart"/>
      <w:r>
        <w:rPr>
          <w:rFonts w:ascii="Verdana" w:hAnsi="Verdana" w:cs="Verdana"/>
          <w:lang w:val="tr-TR"/>
        </w:rPr>
        <w:t>aceptada</w:t>
      </w:r>
      <w:proofErr w:type="spellEnd"/>
      <w:r>
        <w:rPr>
          <w:rFonts w:ascii="Verdana" w:hAnsi="Verdana" w:cs="Verdana"/>
          <w:lang w:val="tr-TR"/>
        </w:rPr>
        <w:t xml:space="preserve"> por el </w:t>
      </w:r>
      <w:proofErr w:type="spellStart"/>
      <w:r>
        <w:rPr>
          <w:rFonts w:ascii="Verdana" w:hAnsi="Verdana" w:cs="Verdana"/>
          <w:lang w:val="tr-TR"/>
        </w:rPr>
        <w:t>denunciante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etc</w:t>
      </w:r>
      <w:proofErr w:type="spellEnd"/>
      <w:r>
        <w:rPr>
          <w:rFonts w:ascii="Verdana" w:hAnsi="Verdana" w:cs="Verdana"/>
          <w:lang w:val="tr-TR"/>
        </w:rPr>
        <w:t>.</w:t>
      </w:r>
    </w:p>
    <w:p w14:paraId="61C334E7" w14:textId="77777777" w:rsidR="00432E43" w:rsidRDefault="00432E43">
      <w:pPr>
        <w:ind w:left="644"/>
        <w:rPr>
          <w:rFonts w:ascii="Verdana" w:hAnsi="Verdana" w:cs="Verdana"/>
          <w:lang w:val="tr-TR"/>
        </w:rPr>
      </w:pPr>
    </w:p>
    <w:p w14:paraId="18D175E9" w14:textId="77777777" w:rsidR="00432E43" w:rsidRDefault="00000000">
      <w:pPr>
        <w:numPr>
          <w:ilvl w:val="0"/>
          <w:numId w:val="2"/>
        </w:numPr>
        <w:ind w:left="142" w:right="-284"/>
        <w:jc w:val="both"/>
        <w:rPr>
          <w:rFonts w:ascii="Verdana" w:hAnsi="Verdana" w:cs="Verdana"/>
          <w:lang w:val="tr-TR"/>
        </w:rPr>
      </w:pPr>
      <w:r>
        <w:rPr>
          <w:rFonts w:ascii="Verdana" w:eastAsia="Verdana" w:hAnsi="Verdana" w:cs="Verdana"/>
          <w:lang w:val="tr-TR"/>
        </w:rPr>
        <w:t xml:space="preserve"> </w:t>
      </w:r>
      <w:r>
        <w:rPr>
          <w:rFonts w:ascii="Verdana" w:hAnsi="Verdana" w:cs="Verdana"/>
          <w:lang w:val="tr-TR"/>
        </w:rPr>
        <w:t xml:space="preserve">Para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objeciones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sean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aceptadas</w:t>
      </w:r>
      <w:proofErr w:type="spellEnd"/>
      <w:r>
        <w:rPr>
          <w:rFonts w:ascii="Verdana" w:hAnsi="Verdana" w:cs="Verdana"/>
          <w:lang w:val="tr-TR"/>
        </w:rPr>
        <w:t xml:space="preserve">, la persona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hace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debe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notificar</w:t>
      </w:r>
      <w:proofErr w:type="spellEnd"/>
      <w:r>
        <w:rPr>
          <w:rFonts w:ascii="Verdana" w:hAnsi="Verdana" w:cs="Verdana"/>
          <w:lang w:val="tr-TR"/>
        </w:rPr>
        <w:t xml:space="preserve"> por </w:t>
      </w:r>
      <w:proofErr w:type="spellStart"/>
      <w:r>
        <w:rPr>
          <w:rFonts w:ascii="Verdana" w:hAnsi="Verdana" w:cs="Verdana"/>
          <w:lang w:val="tr-TR"/>
        </w:rPr>
        <w:t>escrito</w:t>
      </w:r>
      <w:proofErr w:type="spellEnd"/>
      <w:r>
        <w:rPr>
          <w:rFonts w:ascii="Verdana" w:hAnsi="Verdana" w:cs="Verdana"/>
          <w:lang w:val="tr-TR"/>
        </w:rPr>
        <w:t xml:space="preserve"> a Selecta Global </w:t>
      </w:r>
      <w:proofErr w:type="spellStart"/>
      <w:r>
        <w:rPr>
          <w:rFonts w:ascii="Verdana" w:hAnsi="Verdana" w:cs="Verdana"/>
          <w:lang w:val="tr-TR"/>
        </w:rPr>
        <w:t>dentro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30 </w:t>
      </w:r>
      <w:proofErr w:type="spellStart"/>
      <w:r>
        <w:rPr>
          <w:rFonts w:ascii="Verdana" w:hAnsi="Verdana" w:cs="Verdana"/>
          <w:lang w:val="tr-TR"/>
        </w:rPr>
        <w:t>días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más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tardar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después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concluida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actividad</w:t>
      </w:r>
      <w:proofErr w:type="spellEnd"/>
      <w:r>
        <w:rPr>
          <w:rFonts w:ascii="Verdana" w:hAnsi="Verdana" w:cs="Verdana"/>
          <w:lang w:val="tr-TR"/>
        </w:rPr>
        <w:t>.</w:t>
      </w:r>
    </w:p>
    <w:p w14:paraId="36A52604" w14:textId="77777777" w:rsidR="00432E43" w:rsidRDefault="00432E43">
      <w:pPr>
        <w:ind w:left="142" w:right="-284"/>
        <w:jc w:val="both"/>
        <w:rPr>
          <w:rFonts w:ascii="Verdana" w:hAnsi="Verdana" w:cs="Verdana"/>
          <w:lang w:val="tr-TR"/>
        </w:rPr>
      </w:pPr>
    </w:p>
    <w:p w14:paraId="78B02E08" w14:textId="77777777" w:rsidR="00432E43" w:rsidRDefault="00000000">
      <w:pPr>
        <w:numPr>
          <w:ilvl w:val="0"/>
          <w:numId w:val="2"/>
        </w:numPr>
        <w:ind w:left="142" w:right="-284"/>
        <w:jc w:val="both"/>
        <w:rPr>
          <w:rFonts w:ascii="Verdana" w:hAnsi="Verdana" w:cs="Verdana"/>
          <w:lang w:val="tr-TR"/>
        </w:rPr>
      </w:pPr>
      <w:r>
        <w:rPr>
          <w:rFonts w:ascii="Verdana" w:eastAsia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Apelante</w:t>
      </w:r>
      <w:proofErr w:type="spellEnd"/>
      <w:r>
        <w:rPr>
          <w:rFonts w:ascii="Verdana" w:hAnsi="Verdana" w:cs="Verdana"/>
          <w:lang w:val="tr-TR"/>
        </w:rPr>
        <w:t xml:space="preserve">; Al </w:t>
      </w:r>
      <w:proofErr w:type="spellStart"/>
      <w:r>
        <w:rPr>
          <w:rFonts w:ascii="Verdana" w:hAnsi="Verdana" w:cs="Verdana"/>
          <w:lang w:val="tr-TR"/>
        </w:rPr>
        <w:t>completar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Formulario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Solicitud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Queja</w:t>
      </w:r>
      <w:proofErr w:type="spellEnd"/>
      <w:r>
        <w:rPr>
          <w:rFonts w:ascii="Verdana" w:hAnsi="Verdana" w:cs="Verdana"/>
          <w:lang w:val="tr-TR"/>
        </w:rPr>
        <w:t>/</w:t>
      </w:r>
      <w:proofErr w:type="spellStart"/>
      <w:r>
        <w:rPr>
          <w:rFonts w:ascii="Verdana" w:hAnsi="Verdana" w:cs="Verdana"/>
          <w:lang w:val="tr-TR"/>
        </w:rPr>
        <w:t>Solicitud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S-1.03-F01 y </w:t>
      </w:r>
      <w:proofErr w:type="spellStart"/>
      <w:r>
        <w:rPr>
          <w:rFonts w:ascii="Verdana" w:hAnsi="Verdana" w:cs="Verdana"/>
          <w:lang w:val="tr-TR"/>
        </w:rPr>
        <w:t>enviar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formulario</w:t>
      </w:r>
      <w:proofErr w:type="spellEnd"/>
      <w:r>
        <w:rPr>
          <w:rFonts w:ascii="Verdana" w:hAnsi="Verdana" w:cs="Verdana"/>
          <w:lang w:val="tr-TR"/>
        </w:rPr>
        <w:t xml:space="preserve"> a Selecta Global o por </w:t>
      </w:r>
      <w:proofErr w:type="spellStart"/>
      <w:r>
        <w:rPr>
          <w:rFonts w:ascii="Verdana" w:hAnsi="Verdana" w:cs="Verdana"/>
          <w:lang w:val="tr-TR"/>
        </w:rPr>
        <w:t>correo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electrónico</w:t>
      </w:r>
      <w:proofErr w:type="spellEnd"/>
      <w:r>
        <w:rPr>
          <w:rFonts w:ascii="Verdana" w:hAnsi="Verdana" w:cs="Verdana"/>
          <w:lang w:val="tr-TR"/>
        </w:rPr>
        <w:t xml:space="preserve">, se </w:t>
      </w:r>
      <w:proofErr w:type="spellStart"/>
      <w:r>
        <w:rPr>
          <w:rFonts w:ascii="Verdana" w:hAnsi="Verdana" w:cs="Verdana"/>
          <w:lang w:val="tr-TR"/>
        </w:rPr>
        <w:t>puede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presentar</w:t>
      </w:r>
      <w:proofErr w:type="spellEnd"/>
      <w:r>
        <w:rPr>
          <w:rFonts w:ascii="Verdana" w:hAnsi="Verdana" w:cs="Verdana"/>
          <w:lang w:val="tr-TR"/>
        </w:rPr>
        <w:t xml:space="preserve"> una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>.</w:t>
      </w:r>
    </w:p>
    <w:p w14:paraId="19E2ED28" w14:textId="77777777" w:rsidR="00432E43" w:rsidRDefault="00432E43">
      <w:pPr>
        <w:pStyle w:val="ListeParagraf"/>
        <w:rPr>
          <w:rFonts w:ascii="Verdana" w:hAnsi="Verdana" w:cs="Verdana"/>
          <w:lang w:val="tr-TR"/>
        </w:rPr>
      </w:pPr>
    </w:p>
    <w:p w14:paraId="31B0E1F0" w14:textId="77777777" w:rsidR="00432E43" w:rsidRDefault="00000000">
      <w:pPr>
        <w:numPr>
          <w:ilvl w:val="0"/>
          <w:numId w:val="18"/>
        </w:numPr>
        <w:ind w:left="142" w:right="-143" w:hanging="284"/>
        <w:jc w:val="both"/>
        <w:rPr>
          <w:rFonts w:ascii="Verdana" w:hAnsi="Verdana" w:cs="Verdana"/>
          <w:lang w:val="tr-TR"/>
        </w:rPr>
      </w:pPr>
      <w:r>
        <w:rPr>
          <w:rFonts w:ascii="Verdana" w:eastAsia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cual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sea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contenido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solicitud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lo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importante</w:t>
      </w:r>
      <w:proofErr w:type="spellEnd"/>
      <w:r>
        <w:rPr>
          <w:rFonts w:ascii="Verdana" w:hAnsi="Verdana" w:cs="Verdana"/>
          <w:lang w:val="tr-TR"/>
        </w:rPr>
        <w:t xml:space="preserve"> es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procese</w:t>
      </w:r>
      <w:proofErr w:type="spellEnd"/>
      <w:r>
        <w:rPr>
          <w:rFonts w:ascii="Verdana" w:hAnsi="Verdana" w:cs="Verdana"/>
          <w:lang w:val="tr-TR"/>
        </w:rPr>
        <w:t xml:space="preserve"> de forma </w:t>
      </w:r>
      <w:proofErr w:type="spellStart"/>
      <w:r>
        <w:rPr>
          <w:rFonts w:ascii="Verdana" w:hAnsi="Verdana" w:cs="Verdana"/>
          <w:lang w:val="tr-TR"/>
        </w:rPr>
        <w:t>rápida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precisa</w:t>
      </w:r>
      <w:proofErr w:type="spellEnd"/>
      <w:r>
        <w:rPr>
          <w:rFonts w:ascii="Verdana" w:hAnsi="Verdana" w:cs="Verdana"/>
          <w:lang w:val="tr-TR"/>
        </w:rPr>
        <w:t>.</w:t>
      </w:r>
    </w:p>
    <w:p w14:paraId="69D875D3" w14:textId="77777777" w:rsidR="00432E43" w:rsidRDefault="00432E43">
      <w:pPr>
        <w:ind w:left="142" w:right="-143"/>
        <w:jc w:val="both"/>
        <w:rPr>
          <w:rFonts w:ascii="Verdana" w:hAnsi="Verdana" w:cs="Verdana"/>
          <w:lang w:val="tr-TR"/>
        </w:rPr>
      </w:pPr>
    </w:p>
    <w:p w14:paraId="302CFDFD" w14:textId="77777777" w:rsidR="00432E43" w:rsidRDefault="00000000">
      <w:pPr>
        <w:numPr>
          <w:ilvl w:val="0"/>
          <w:numId w:val="18"/>
        </w:numPr>
        <w:ind w:left="142" w:right="-143" w:hanging="284"/>
        <w:jc w:val="both"/>
        <w:rPr>
          <w:rFonts w:ascii="Verdana" w:hAnsi="Verdana" w:cs="Verdana"/>
          <w:lang w:val="tr-TR"/>
        </w:rPr>
      </w:pPr>
      <w:r>
        <w:rPr>
          <w:rFonts w:ascii="Verdana" w:eastAsia="Verdana" w:hAnsi="Verdana" w:cs="Verdana"/>
          <w:lang w:val="tr-TR"/>
        </w:rPr>
        <w:t xml:space="preserve"> </w:t>
      </w:r>
      <w:r>
        <w:rPr>
          <w:rFonts w:ascii="Verdana" w:hAnsi="Verdana" w:cs="Verdana"/>
          <w:lang w:val="tr-TR"/>
        </w:rPr>
        <w:t xml:space="preserve">El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Oficina</w:t>
      </w:r>
      <w:proofErr w:type="spellEnd"/>
      <w:r>
        <w:rPr>
          <w:rFonts w:ascii="Verdana" w:hAnsi="Verdana" w:cs="Verdana"/>
          <w:lang w:val="tr-TR"/>
        </w:rPr>
        <w:t xml:space="preserve"> o el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envía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información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sobre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cómo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maneja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cómo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funcionará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proceso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cómo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finalizará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dentro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30 </w:t>
      </w:r>
      <w:proofErr w:type="spellStart"/>
      <w:r>
        <w:rPr>
          <w:rFonts w:ascii="Verdana" w:hAnsi="Verdana" w:cs="Verdana"/>
          <w:lang w:val="tr-TR"/>
        </w:rPr>
        <w:t>días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más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tardar</w:t>
      </w:r>
      <w:proofErr w:type="spellEnd"/>
      <w:r>
        <w:rPr>
          <w:rFonts w:ascii="Verdana" w:hAnsi="Verdana" w:cs="Verdana"/>
          <w:lang w:val="tr-TR"/>
        </w:rPr>
        <w:t xml:space="preserve"> por </w:t>
      </w:r>
      <w:proofErr w:type="spellStart"/>
      <w:r>
        <w:rPr>
          <w:rFonts w:ascii="Verdana" w:hAnsi="Verdana" w:cs="Verdana"/>
          <w:lang w:val="tr-TR"/>
        </w:rPr>
        <w:t>correo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electrónico</w:t>
      </w:r>
      <w:proofErr w:type="spellEnd"/>
      <w:r>
        <w:rPr>
          <w:rFonts w:ascii="Verdana" w:hAnsi="Verdana" w:cs="Verdana"/>
          <w:lang w:val="tr-TR"/>
        </w:rPr>
        <w:t xml:space="preserve"> o por </w:t>
      </w:r>
      <w:proofErr w:type="spellStart"/>
      <w:r>
        <w:rPr>
          <w:rFonts w:ascii="Verdana" w:hAnsi="Verdana" w:cs="Verdana"/>
          <w:lang w:val="tr-TR"/>
        </w:rPr>
        <w:t>escrito</w:t>
      </w:r>
      <w:proofErr w:type="spellEnd"/>
      <w:r>
        <w:rPr>
          <w:rFonts w:ascii="Verdana" w:hAnsi="Verdana" w:cs="Verdana"/>
          <w:lang w:val="tr-TR"/>
        </w:rPr>
        <w:t xml:space="preserve">. </w:t>
      </w:r>
      <w:proofErr w:type="spellStart"/>
      <w:r>
        <w:rPr>
          <w:rFonts w:ascii="Verdana" w:hAnsi="Verdana" w:cs="Verdana"/>
          <w:lang w:val="tr-TR"/>
        </w:rPr>
        <w:t>Además</w:t>
      </w:r>
      <w:proofErr w:type="spellEnd"/>
      <w:r>
        <w:rPr>
          <w:rFonts w:ascii="Verdana" w:hAnsi="Verdana" w:cs="Verdana"/>
          <w:lang w:val="tr-TR"/>
        </w:rPr>
        <w:t xml:space="preserve">, se </w:t>
      </w:r>
      <w:proofErr w:type="spellStart"/>
      <w:r>
        <w:rPr>
          <w:rFonts w:ascii="Verdana" w:hAnsi="Verdana" w:cs="Verdana"/>
          <w:lang w:val="tr-TR"/>
        </w:rPr>
        <w:t>obtiene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solicitante</w:t>
      </w:r>
      <w:proofErr w:type="spellEnd"/>
      <w:r>
        <w:rPr>
          <w:rFonts w:ascii="Verdana" w:hAnsi="Verdana" w:cs="Verdana"/>
          <w:lang w:val="tr-TR"/>
        </w:rPr>
        <w:t xml:space="preserve"> al </w:t>
      </w:r>
      <w:proofErr w:type="spellStart"/>
      <w:r>
        <w:rPr>
          <w:rFonts w:ascii="Verdana" w:hAnsi="Verdana" w:cs="Verdana"/>
          <w:lang w:val="tr-TR"/>
        </w:rPr>
        <w:t>menos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siguiente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información</w:t>
      </w:r>
      <w:proofErr w:type="spellEnd"/>
      <w:r>
        <w:rPr>
          <w:rFonts w:ascii="Verdana" w:hAnsi="Verdana" w:cs="Verdana"/>
          <w:lang w:val="tr-TR"/>
        </w:rPr>
        <w:t xml:space="preserve"> para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objeción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sea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validada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evaluada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manera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efectiva</w:t>
      </w:r>
      <w:proofErr w:type="spellEnd"/>
      <w:r>
        <w:rPr>
          <w:rFonts w:ascii="Verdana" w:hAnsi="Verdana" w:cs="Verdana"/>
          <w:lang w:val="tr-TR"/>
        </w:rPr>
        <w:t>.</w:t>
      </w:r>
    </w:p>
    <w:p w14:paraId="4918A0AF" w14:textId="77777777" w:rsidR="00432E43" w:rsidRDefault="00432E43">
      <w:pPr>
        <w:ind w:left="142" w:right="-143"/>
        <w:jc w:val="both"/>
        <w:rPr>
          <w:rFonts w:ascii="Verdana" w:hAnsi="Verdana" w:cs="Verdana"/>
          <w:lang w:val="tr-TR"/>
        </w:rPr>
      </w:pPr>
    </w:p>
    <w:p w14:paraId="50D9483E" w14:textId="77777777" w:rsidR="00432E43" w:rsidRDefault="00000000">
      <w:pPr>
        <w:pStyle w:val="GvdeMetni"/>
        <w:numPr>
          <w:ilvl w:val="0"/>
          <w:numId w:val="19"/>
        </w:numPr>
        <w:ind w:left="709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contenido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fecha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número</w:t>
      </w:r>
      <w:proofErr w:type="spellEnd"/>
      <w:r>
        <w:rPr>
          <w:rFonts w:ascii="Verdana" w:hAnsi="Verdana" w:cs="Verdana"/>
          <w:sz w:val="20"/>
          <w:lang w:val="tr-TR"/>
        </w:rPr>
        <w:t xml:space="preserve">, en su </w:t>
      </w:r>
      <w:proofErr w:type="spellStart"/>
      <w:r>
        <w:rPr>
          <w:rFonts w:ascii="Verdana" w:hAnsi="Verdana" w:cs="Verdana"/>
          <w:sz w:val="20"/>
          <w:lang w:val="tr-TR"/>
        </w:rPr>
        <w:t>caso</w:t>
      </w:r>
      <w:proofErr w:type="spellEnd"/>
      <w:r>
        <w:rPr>
          <w:rFonts w:ascii="Verdana" w:hAnsi="Verdana" w:cs="Verdana"/>
          <w:sz w:val="20"/>
          <w:lang w:val="tr-TR"/>
        </w:rPr>
        <w:t xml:space="preserve">, de la </w:t>
      </w:r>
      <w:proofErr w:type="spellStart"/>
      <w:r>
        <w:rPr>
          <w:rFonts w:ascii="Verdana" w:hAnsi="Verdana" w:cs="Verdana"/>
          <w:sz w:val="20"/>
          <w:lang w:val="tr-TR"/>
        </w:rPr>
        <w:t>resolución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impugnada</w:t>
      </w:r>
      <w:proofErr w:type="spellEnd"/>
      <w:r>
        <w:rPr>
          <w:rFonts w:ascii="Verdana" w:hAnsi="Verdana" w:cs="Verdana"/>
          <w:sz w:val="20"/>
          <w:lang w:val="tr-TR"/>
        </w:rPr>
        <w:t>,</w:t>
      </w:r>
    </w:p>
    <w:p w14:paraId="3AB5573A" w14:textId="77777777" w:rsidR="00432E43" w:rsidRDefault="00000000">
      <w:pPr>
        <w:pStyle w:val="GvdeMetni"/>
        <w:numPr>
          <w:ilvl w:val="0"/>
          <w:numId w:val="3"/>
        </w:numPr>
        <w:spacing w:before="100"/>
        <w:jc w:val="both"/>
        <w:rPr>
          <w:rFonts w:ascii="Verdana" w:hAnsi="Verdana" w:cs="Verdana"/>
          <w:sz w:val="20"/>
          <w:lang w:val="tr-TR"/>
        </w:rPr>
      </w:pPr>
      <w:proofErr w:type="gramStart"/>
      <w:r>
        <w:rPr>
          <w:rFonts w:ascii="Verdana" w:hAnsi="Verdana" w:cs="Verdana"/>
          <w:sz w:val="20"/>
          <w:lang w:val="tr-TR"/>
        </w:rPr>
        <w:t>el</w:t>
      </w:r>
      <w:proofErr w:type="gram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nombre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>,</w:t>
      </w:r>
    </w:p>
    <w:p w14:paraId="59E02AB4" w14:textId="77777777" w:rsidR="00432E43" w:rsidRDefault="00000000">
      <w:pPr>
        <w:pStyle w:val="GvdeMetni"/>
        <w:numPr>
          <w:ilvl w:val="0"/>
          <w:numId w:val="3"/>
        </w:numPr>
        <w:spacing w:before="100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Nombres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 </w:t>
      </w:r>
      <w:proofErr w:type="spellStart"/>
      <w:r>
        <w:rPr>
          <w:rFonts w:ascii="Verdana" w:hAnsi="Verdana" w:cs="Verdana"/>
          <w:sz w:val="20"/>
          <w:lang w:val="tr-TR"/>
        </w:rPr>
        <w:t>involucrado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dentro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alcance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>,</w:t>
      </w:r>
    </w:p>
    <w:p w14:paraId="07D3250B" w14:textId="77777777" w:rsidR="00432E43" w:rsidRDefault="00000000">
      <w:pPr>
        <w:pStyle w:val="GvdeMetni"/>
        <w:numPr>
          <w:ilvl w:val="0"/>
          <w:numId w:val="3"/>
        </w:numPr>
        <w:spacing w:before="100"/>
        <w:jc w:val="both"/>
        <w:rPr>
          <w:rFonts w:ascii="Verdana" w:hAnsi="Verdana" w:cs="Verdana"/>
          <w:sz w:val="20"/>
          <w:lang w:val="tr-TR"/>
        </w:rPr>
      </w:pPr>
      <w:proofErr w:type="spellStart"/>
      <w:proofErr w:type="gramStart"/>
      <w:r>
        <w:rPr>
          <w:rFonts w:ascii="Verdana" w:hAnsi="Verdana" w:cs="Verdana"/>
          <w:sz w:val="20"/>
          <w:lang w:val="tr-TR"/>
        </w:rPr>
        <w:t>razones</w:t>
      </w:r>
      <w:proofErr w:type="spellEnd"/>
      <w:proofErr w:type="gramEnd"/>
      <w:r>
        <w:rPr>
          <w:rFonts w:ascii="Verdana" w:hAnsi="Verdana" w:cs="Verdana"/>
          <w:sz w:val="20"/>
          <w:lang w:val="tr-TR"/>
        </w:rPr>
        <w:t xml:space="preserve"> para no </w:t>
      </w:r>
      <w:proofErr w:type="spellStart"/>
      <w:r>
        <w:rPr>
          <w:rFonts w:ascii="Verdana" w:hAnsi="Verdana" w:cs="Verdana"/>
          <w:sz w:val="20"/>
          <w:lang w:val="tr-TR"/>
        </w:rPr>
        <w:t>aceptar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>,</w:t>
      </w:r>
    </w:p>
    <w:p w14:paraId="4A40CED1" w14:textId="77777777" w:rsidR="00432E43" w:rsidRDefault="00000000">
      <w:pPr>
        <w:pStyle w:val="GvdeMetni"/>
        <w:numPr>
          <w:ilvl w:val="0"/>
          <w:numId w:val="3"/>
        </w:numPr>
        <w:spacing w:before="100"/>
        <w:jc w:val="both"/>
        <w:rPr>
          <w:rFonts w:ascii="Verdana" w:hAnsi="Verdana" w:cs="Verdana"/>
          <w:sz w:val="20"/>
          <w:lang w:val="tr-TR"/>
        </w:rPr>
      </w:pPr>
      <w:proofErr w:type="spellStart"/>
      <w:proofErr w:type="gram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proofErr w:type="gram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contacto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la(s) persona(s) de </w:t>
      </w:r>
      <w:proofErr w:type="spellStart"/>
      <w:r>
        <w:rPr>
          <w:rFonts w:ascii="Verdana" w:hAnsi="Verdana" w:cs="Verdana"/>
          <w:sz w:val="20"/>
          <w:lang w:val="tr-TR"/>
        </w:rPr>
        <w:t>quien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puede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obtener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detallada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cuando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</w:p>
    <w:p w14:paraId="334B0E21" w14:textId="77777777" w:rsidR="00432E43" w:rsidRDefault="00432E43">
      <w:pPr>
        <w:pStyle w:val="ListeParagraf"/>
        <w:rPr>
          <w:rFonts w:ascii="Verdana" w:hAnsi="Verdana" w:cs="Verdana"/>
          <w:color w:val="000000"/>
          <w:lang w:val="tr-TR"/>
        </w:rPr>
      </w:pPr>
    </w:p>
    <w:p w14:paraId="6169D889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S-1.03-F01 El </w:t>
      </w:r>
      <w:proofErr w:type="spellStart"/>
      <w:r>
        <w:rPr>
          <w:rFonts w:ascii="Verdana" w:hAnsi="Verdana" w:cs="Verdana"/>
          <w:sz w:val="20"/>
          <w:lang w:val="tr-TR"/>
        </w:rPr>
        <w:t>formulario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envía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gerencia</w:t>
      </w:r>
      <w:proofErr w:type="spellEnd"/>
      <w:r>
        <w:rPr>
          <w:rFonts w:ascii="Verdana" w:hAnsi="Verdana" w:cs="Verdana"/>
          <w:sz w:val="20"/>
          <w:lang w:val="tr-TR"/>
        </w:rPr>
        <w:t xml:space="preserve">. El </w:t>
      </w:r>
      <w:proofErr w:type="spellStart"/>
      <w:r>
        <w:rPr>
          <w:rFonts w:ascii="Verdana" w:hAnsi="Verdana" w:cs="Verdana"/>
          <w:sz w:val="20"/>
          <w:lang w:val="tr-TR"/>
        </w:rPr>
        <w:t>Representante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Dirección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inicia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Gestión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No </w:t>
      </w:r>
      <w:proofErr w:type="spellStart"/>
      <w:r>
        <w:rPr>
          <w:rFonts w:ascii="Verdana" w:hAnsi="Verdana" w:cs="Verdana"/>
          <w:sz w:val="20"/>
          <w:lang w:val="tr-TR"/>
        </w:rPr>
        <w:t>Conformidades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4A4E3BA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En </w:t>
      </w:r>
      <w:proofErr w:type="spellStart"/>
      <w:r>
        <w:rPr>
          <w:rFonts w:ascii="Verdana" w:hAnsi="Verdana" w:cs="Verdana"/>
          <w:sz w:val="20"/>
          <w:lang w:val="tr-TR"/>
        </w:rPr>
        <w:t>caso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prolongue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proceso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finalización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informa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>/</w:t>
      </w:r>
      <w:proofErr w:type="spellStart"/>
      <w:r>
        <w:rPr>
          <w:rFonts w:ascii="Verdana" w:hAnsi="Verdana" w:cs="Verdana"/>
          <w:sz w:val="20"/>
          <w:lang w:val="tr-TR"/>
        </w:rPr>
        <w:t>correo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electrónico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avances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parte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Oficina</w:t>
      </w:r>
      <w:proofErr w:type="spellEnd"/>
      <w:r>
        <w:rPr>
          <w:rFonts w:ascii="Verdana" w:hAnsi="Verdana" w:cs="Verdana"/>
          <w:sz w:val="20"/>
          <w:lang w:val="tr-TR"/>
        </w:rPr>
        <w:t xml:space="preserve"> o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4C115E3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Si el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así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solicita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debe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indicar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quién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compuesto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Apelaciones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tiene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derecho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expresar</w:t>
      </w:r>
      <w:proofErr w:type="spellEnd"/>
      <w:r>
        <w:rPr>
          <w:rFonts w:ascii="Verdana" w:hAnsi="Verdana" w:cs="Verdana"/>
          <w:sz w:val="20"/>
          <w:lang w:val="tr-TR"/>
        </w:rPr>
        <w:t xml:space="preserve"> una </w:t>
      </w:r>
      <w:proofErr w:type="spellStart"/>
      <w:r>
        <w:rPr>
          <w:rFonts w:ascii="Verdana" w:hAnsi="Verdana" w:cs="Verdana"/>
          <w:sz w:val="20"/>
          <w:lang w:val="tr-TR"/>
        </w:rPr>
        <w:t>opinión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6E716B98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Se </w:t>
      </w:r>
      <w:proofErr w:type="spellStart"/>
      <w:r>
        <w:rPr>
          <w:rFonts w:ascii="Verdana" w:hAnsi="Verdana" w:cs="Verdana"/>
          <w:sz w:val="20"/>
          <w:lang w:val="tr-TR"/>
        </w:rPr>
        <w:t>tiene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cuidado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garantizar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incluirán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seleccionadas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entre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hayan </w:t>
      </w:r>
      <w:proofErr w:type="spellStart"/>
      <w:r>
        <w:rPr>
          <w:rFonts w:ascii="Verdana" w:hAnsi="Verdana" w:cs="Verdana"/>
          <w:sz w:val="20"/>
          <w:lang w:val="tr-TR"/>
        </w:rPr>
        <w:t>trabajado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antes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firma y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hayan </w:t>
      </w:r>
      <w:proofErr w:type="spellStart"/>
      <w:r>
        <w:rPr>
          <w:rFonts w:ascii="Verdana" w:hAnsi="Verdana" w:cs="Verdana"/>
          <w:sz w:val="20"/>
          <w:lang w:val="tr-TR"/>
        </w:rPr>
        <w:t>consultado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firma de </w:t>
      </w:r>
      <w:proofErr w:type="spellStart"/>
      <w:r>
        <w:rPr>
          <w:rFonts w:ascii="Verdana" w:hAnsi="Verdana" w:cs="Verdana"/>
          <w:sz w:val="20"/>
          <w:lang w:val="tr-TR"/>
        </w:rPr>
        <w:t>manera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evitar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conflictos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intereses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1039A706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En </w:t>
      </w:r>
      <w:proofErr w:type="spellStart"/>
      <w:r>
        <w:rPr>
          <w:rFonts w:ascii="Verdana" w:hAnsi="Verdana" w:cs="Verdana"/>
          <w:sz w:val="20"/>
          <w:lang w:val="tr-TR"/>
        </w:rPr>
        <w:t>caso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evaluarán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asunto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serán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tengan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vinculación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organización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(</w:t>
      </w:r>
      <w:proofErr w:type="spellStart"/>
      <w:r>
        <w:rPr>
          <w:rFonts w:ascii="Verdana" w:hAnsi="Verdana" w:cs="Verdana"/>
          <w:sz w:val="20"/>
          <w:lang w:val="tr-TR"/>
        </w:rPr>
        <w:t>estudio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certificación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vigilancia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calibración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consultoría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capacitación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relación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comercial</w:t>
      </w:r>
      <w:proofErr w:type="spellEnd"/>
      <w:r>
        <w:rPr>
          <w:rFonts w:ascii="Verdana" w:hAnsi="Verdana" w:cs="Verdana"/>
          <w:sz w:val="20"/>
          <w:lang w:val="tr-TR"/>
        </w:rPr>
        <w:t xml:space="preserve"> y moral, </w:t>
      </w:r>
      <w:proofErr w:type="spellStart"/>
      <w:r>
        <w:rPr>
          <w:rFonts w:ascii="Verdana" w:hAnsi="Verdana" w:cs="Verdana"/>
          <w:sz w:val="20"/>
          <w:lang w:val="tr-TR"/>
        </w:rPr>
        <w:t>etc</w:t>
      </w:r>
      <w:proofErr w:type="spellEnd"/>
      <w:r>
        <w:rPr>
          <w:rFonts w:ascii="Verdana" w:hAnsi="Verdana" w:cs="Verdana"/>
          <w:sz w:val="20"/>
          <w:lang w:val="tr-TR"/>
        </w:rPr>
        <w:t xml:space="preserve">.),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tengan</w:t>
      </w:r>
      <w:proofErr w:type="spellEnd"/>
      <w:r>
        <w:rPr>
          <w:rFonts w:ascii="Verdana" w:hAnsi="Verdana" w:cs="Verdana"/>
          <w:sz w:val="20"/>
          <w:lang w:val="tr-TR"/>
        </w:rPr>
        <w:t xml:space="preserve"> no haber </w:t>
      </w:r>
      <w:proofErr w:type="spellStart"/>
      <w:r>
        <w:rPr>
          <w:rFonts w:ascii="Verdana" w:hAnsi="Verdana" w:cs="Verdana"/>
          <w:sz w:val="20"/>
          <w:lang w:val="tr-TR"/>
        </w:rPr>
        <w:t>tomado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parte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materia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correspondiente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certificación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EC94DF3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lastRenderedPageBreak/>
        <w:t xml:space="preserve"> </w:t>
      </w: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deben</w:t>
      </w:r>
      <w:proofErr w:type="spellEnd"/>
      <w:r>
        <w:rPr>
          <w:rFonts w:ascii="Verdana" w:hAnsi="Verdana" w:cs="Verdana"/>
          <w:sz w:val="20"/>
          <w:lang w:val="tr-TR"/>
        </w:rPr>
        <w:t xml:space="preserve"> haber </w:t>
      </w:r>
      <w:proofErr w:type="spellStart"/>
      <w:r>
        <w:rPr>
          <w:rFonts w:ascii="Verdana" w:hAnsi="Verdana" w:cs="Verdana"/>
          <w:sz w:val="20"/>
          <w:lang w:val="tr-TR"/>
        </w:rPr>
        <w:t>brindado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capacitación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consultoría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empleado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votaron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últimos</w:t>
      </w:r>
      <w:proofErr w:type="spellEnd"/>
      <w:r>
        <w:rPr>
          <w:rFonts w:ascii="Verdana" w:hAnsi="Verdana" w:cs="Verdana"/>
          <w:sz w:val="20"/>
          <w:lang w:val="tr-TR"/>
        </w:rPr>
        <w:t xml:space="preserve"> 2 </w:t>
      </w:r>
      <w:proofErr w:type="spellStart"/>
      <w:r>
        <w:rPr>
          <w:rFonts w:ascii="Verdana" w:hAnsi="Verdana" w:cs="Verdana"/>
          <w:sz w:val="20"/>
          <w:lang w:val="tr-TR"/>
        </w:rPr>
        <w:t>años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5BC022AA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derecho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voto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deben</w:t>
      </w:r>
      <w:proofErr w:type="spellEnd"/>
      <w:r>
        <w:rPr>
          <w:rFonts w:ascii="Verdana" w:hAnsi="Verdana" w:cs="Verdana"/>
          <w:sz w:val="20"/>
          <w:lang w:val="tr-TR"/>
        </w:rPr>
        <w:t xml:space="preserve"> haber </w:t>
      </w:r>
      <w:proofErr w:type="spellStart"/>
      <w:r>
        <w:rPr>
          <w:rFonts w:ascii="Verdana" w:hAnsi="Verdana" w:cs="Verdana"/>
          <w:sz w:val="20"/>
          <w:lang w:val="tr-TR"/>
        </w:rPr>
        <w:t>participado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empleado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votaron</w:t>
      </w:r>
      <w:proofErr w:type="spellEnd"/>
      <w:r>
        <w:rPr>
          <w:rFonts w:ascii="Verdana" w:hAnsi="Verdana" w:cs="Verdana"/>
          <w:sz w:val="20"/>
          <w:lang w:val="tr-TR"/>
        </w:rPr>
        <w:t xml:space="preserve">. (Los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deben</w:t>
      </w:r>
      <w:proofErr w:type="spellEnd"/>
      <w:r>
        <w:rPr>
          <w:rFonts w:ascii="Verdana" w:hAnsi="Verdana" w:cs="Verdana"/>
          <w:sz w:val="20"/>
          <w:lang w:val="tr-TR"/>
        </w:rPr>
        <w:t xml:space="preserve"> haber </w:t>
      </w:r>
      <w:proofErr w:type="spellStart"/>
      <w:r>
        <w:rPr>
          <w:rFonts w:ascii="Verdana" w:hAnsi="Verdana" w:cs="Verdana"/>
          <w:sz w:val="20"/>
          <w:lang w:val="tr-TR"/>
        </w:rPr>
        <w:t>participado</w:t>
      </w:r>
      <w:proofErr w:type="spellEnd"/>
      <w:r>
        <w:rPr>
          <w:rFonts w:ascii="Verdana" w:hAnsi="Verdana" w:cs="Verdana"/>
          <w:sz w:val="20"/>
          <w:lang w:val="tr-TR"/>
        </w:rPr>
        <w:t xml:space="preserve"> en la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empleado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votaron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es el tema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>).</w:t>
      </w:r>
    </w:p>
    <w:p w14:paraId="74FEC738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Se </w:t>
      </w:r>
      <w:proofErr w:type="spellStart"/>
      <w:r>
        <w:rPr>
          <w:rFonts w:ascii="Verdana" w:hAnsi="Verdana" w:cs="Verdana"/>
          <w:sz w:val="20"/>
          <w:lang w:val="tr-TR"/>
        </w:rPr>
        <w:t>determinan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harán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contra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objetor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resulte</w:t>
      </w:r>
      <w:proofErr w:type="spellEnd"/>
      <w:r>
        <w:rPr>
          <w:rFonts w:ascii="Verdana" w:hAnsi="Verdana" w:cs="Verdana"/>
          <w:sz w:val="20"/>
          <w:lang w:val="tr-TR"/>
        </w:rPr>
        <w:t xml:space="preserve"> en una </w:t>
      </w:r>
      <w:proofErr w:type="spellStart"/>
      <w:r>
        <w:rPr>
          <w:rFonts w:ascii="Verdana" w:hAnsi="Verdana" w:cs="Verdana"/>
          <w:sz w:val="20"/>
          <w:lang w:val="tr-TR"/>
        </w:rPr>
        <w:t>actividad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discriminatoria</w:t>
      </w:r>
      <w:proofErr w:type="spellEnd"/>
      <w:r>
        <w:rPr>
          <w:rFonts w:ascii="Verdana" w:hAnsi="Verdana" w:cs="Verdana"/>
          <w:sz w:val="20"/>
          <w:lang w:val="tr-TR"/>
        </w:rPr>
        <w:t xml:space="preserve">.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determinadas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presentan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 para su </w:t>
      </w:r>
      <w:proofErr w:type="spellStart"/>
      <w:r>
        <w:rPr>
          <w:rFonts w:ascii="Verdana" w:hAnsi="Verdana" w:cs="Verdana"/>
          <w:sz w:val="20"/>
          <w:lang w:val="tr-TR"/>
        </w:rPr>
        <w:t>designación</w:t>
      </w:r>
      <w:proofErr w:type="spellEnd"/>
      <w:r>
        <w:rPr>
          <w:rFonts w:ascii="Verdana" w:hAnsi="Verdana" w:cs="Verdana"/>
          <w:sz w:val="20"/>
          <w:lang w:val="tr-TR"/>
        </w:rPr>
        <w:t xml:space="preserve">. Los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designados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aprobación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General.</w:t>
      </w:r>
    </w:p>
    <w:p w14:paraId="6D2DAC06" w14:textId="77777777" w:rsidR="00432E43" w:rsidRDefault="00000000">
      <w:pPr>
        <w:pStyle w:val="GvdeMetni"/>
        <w:numPr>
          <w:ilvl w:val="0"/>
          <w:numId w:val="2"/>
        </w:numPr>
        <w:ind w:left="142" w:right="-284"/>
        <w:jc w:val="both"/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miembros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asistir</w:t>
      </w:r>
      <w:proofErr w:type="spellEnd"/>
      <w:r>
        <w:rPr>
          <w:rFonts w:ascii="Verdana" w:hAnsi="Verdana" w:cs="Verdana"/>
          <w:sz w:val="20"/>
          <w:lang w:val="tr-TR"/>
        </w:rPr>
        <w:t xml:space="preserve"> a la </w:t>
      </w:r>
      <w:proofErr w:type="spellStart"/>
      <w:r>
        <w:rPr>
          <w:rFonts w:ascii="Verdana" w:hAnsi="Verdana" w:cs="Verdana"/>
          <w:sz w:val="20"/>
          <w:lang w:val="tr-TR"/>
        </w:rPr>
        <w:t>reunión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deberán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cumplir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siguientes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condiciones</w:t>
      </w:r>
      <w:proofErr w:type="spellEnd"/>
      <w:r>
        <w:rPr>
          <w:rFonts w:ascii="Verdana" w:hAnsi="Verdana" w:cs="Verdana"/>
          <w:sz w:val="20"/>
          <w:lang w:val="tr-TR"/>
        </w:rPr>
        <w:t>:</w:t>
      </w:r>
    </w:p>
    <w:p w14:paraId="0C2D459D" w14:textId="77777777" w:rsidR="00432E43" w:rsidRDefault="00000000">
      <w:pPr>
        <w:pStyle w:val="GvdeMetni"/>
        <w:ind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></w:t>
      </w:r>
      <w:r>
        <w:rPr>
          <w:rFonts w:ascii="Verdana" w:hAnsi="Verdana" w:cs="Verdana"/>
          <w:sz w:val="20"/>
          <w:lang w:val="tr-TR"/>
        </w:rPr>
        <w:tab/>
      </w:r>
      <w:proofErr w:type="spellStart"/>
      <w:r>
        <w:rPr>
          <w:rFonts w:ascii="Verdana" w:hAnsi="Verdana" w:cs="Verdana"/>
          <w:sz w:val="20"/>
          <w:lang w:val="tr-TR"/>
        </w:rPr>
        <w:t>Tener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conocimiento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experiencia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la norma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FD44D03" w14:textId="77777777" w:rsidR="00432E43" w:rsidRDefault="00000000">
      <w:pPr>
        <w:pStyle w:val="GvdeMetni"/>
        <w:ind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></w:t>
      </w:r>
      <w:r>
        <w:rPr>
          <w:rFonts w:ascii="Verdana" w:hAnsi="Verdana" w:cs="Verdana"/>
          <w:sz w:val="20"/>
          <w:lang w:val="tr-TR"/>
        </w:rPr>
        <w:tab/>
      </w:r>
      <w:proofErr w:type="spellStart"/>
      <w:r>
        <w:rPr>
          <w:rFonts w:ascii="Verdana" w:hAnsi="Verdana" w:cs="Verdana"/>
          <w:sz w:val="20"/>
          <w:lang w:val="tr-TR"/>
        </w:rPr>
        <w:t>Preferiblemente</w:t>
      </w:r>
      <w:proofErr w:type="spellEnd"/>
      <w:r>
        <w:rPr>
          <w:rFonts w:ascii="Verdana" w:hAnsi="Verdana" w:cs="Verdana"/>
          <w:sz w:val="20"/>
          <w:lang w:val="tr-TR"/>
        </w:rPr>
        <w:t xml:space="preserve"> haber </w:t>
      </w:r>
      <w:proofErr w:type="spellStart"/>
      <w:r>
        <w:rPr>
          <w:rFonts w:ascii="Verdana" w:hAnsi="Verdana" w:cs="Verdana"/>
          <w:sz w:val="20"/>
          <w:lang w:val="tr-TR"/>
        </w:rPr>
        <w:t>recibido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educación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estándar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relevante</w:t>
      </w:r>
      <w:proofErr w:type="spellEnd"/>
    </w:p>
    <w:p w14:paraId="4E9B2FAD" w14:textId="77777777" w:rsidR="00432E43" w:rsidRDefault="00000000">
      <w:pPr>
        <w:pStyle w:val="Balk3"/>
        <w:rPr>
          <w:rFonts w:ascii="Verdana" w:hAnsi="Verdana" w:cs="Verdana"/>
          <w:b/>
          <w:sz w:val="20"/>
        </w:rPr>
      </w:pPr>
      <w:bookmarkStart w:id="14" w:name="__RefHeading___Toc12375337"/>
      <w:bookmarkEnd w:id="14"/>
      <w:proofErr w:type="spellStart"/>
      <w:r>
        <w:rPr>
          <w:rFonts w:ascii="Verdana" w:hAnsi="Verdana" w:cs="Verdana"/>
          <w:b/>
          <w:sz w:val="20"/>
        </w:rPr>
        <w:t>Evaluación</w:t>
      </w:r>
      <w:proofErr w:type="spellEnd"/>
      <w:r>
        <w:rPr>
          <w:rFonts w:ascii="Verdana" w:hAnsi="Verdana" w:cs="Verdana"/>
          <w:b/>
          <w:sz w:val="20"/>
        </w:rPr>
        <w:t xml:space="preserve"> y </w:t>
      </w:r>
      <w:proofErr w:type="spellStart"/>
      <w:r>
        <w:rPr>
          <w:rFonts w:ascii="Verdana" w:hAnsi="Verdana" w:cs="Verdana"/>
          <w:b/>
          <w:sz w:val="20"/>
        </w:rPr>
        <w:t>conclusión</w:t>
      </w:r>
      <w:proofErr w:type="spellEnd"/>
      <w:r>
        <w:rPr>
          <w:rFonts w:ascii="Verdana" w:hAnsi="Verdana" w:cs="Verdana"/>
          <w:b/>
          <w:sz w:val="20"/>
        </w:rPr>
        <w:t xml:space="preserve"> de solicitudes</w:t>
      </w:r>
    </w:p>
    <w:p w14:paraId="3280D38B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remite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Apelaciones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.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Apelaciones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; </w:t>
      </w:r>
      <w:proofErr w:type="spellStart"/>
      <w:r>
        <w:rPr>
          <w:rFonts w:ascii="Verdana" w:hAnsi="Verdana" w:cs="Verdana"/>
          <w:sz w:val="20"/>
          <w:lang w:val="tr-TR"/>
        </w:rPr>
        <w:t>convoca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evalúa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recurso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13405138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Cuando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obtiene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adicional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personal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comités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involucrados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proceso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5787D07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evalúa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validez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 en </w:t>
      </w:r>
      <w:proofErr w:type="spellStart"/>
      <w:r>
        <w:rPr>
          <w:rFonts w:ascii="Verdana" w:hAnsi="Verdana" w:cs="Verdana"/>
          <w:sz w:val="20"/>
          <w:lang w:val="tr-TR"/>
        </w:rPr>
        <w:t>detalle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revisa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objetada</w:t>
      </w:r>
      <w:proofErr w:type="spellEnd"/>
      <w:r>
        <w:rPr>
          <w:rFonts w:ascii="Verdana" w:hAnsi="Verdana" w:cs="Verdana"/>
          <w:sz w:val="20"/>
          <w:lang w:val="tr-TR"/>
        </w:rPr>
        <w:t xml:space="preserve"> e </w:t>
      </w:r>
      <w:proofErr w:type="spellStart"/>
      <w:r>
        <w:rPr>
          <w:rFonts w:ascii="Verdana" w:hAnsi="Verdana" w:cs="Verdana"/>
          <w:sz w:val="20"/>
          <w:lang w:val="tr-TR"/>
        </w:rPr>
        <w:t>investiga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motivos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 xml:space="preserve">. La </w:t>
      </w:r>
      <w:proofErr w:type="spellStart"/>
      <w:r>
        <w:rPr>
          <w:rFonts w:ascii="Verdana" w:hAnsi="Verdana" w:cs="Verdana"/>
          <w:sz w:val="20"/>
          <w:lang w:val="tr-TR"/>
        </w:rPr>
        <w:t>opinión</w:t>
      </w:r>
      <w:proofErr w:type="spellEnd"/>
      <w:r>
        <w:rPr>
          <w:rFonts w:ascii="Verdana" w:hAnsi="Verdana" w:cs="Verdana"/>
          <w:sz w:val="20"/>
          <w:lang w:val="tr-TR"/>
        </w:rPr>
        <w:t xml:space="preserve"> formada </w:t>
      </w:r>
      <w:proofErr w:type="spellStart"/>
      <w:r>
        <w:rPr>
          <w:rFonts w:ascii="Verdana" w:hAnsi="Verdana" w:cs="Verdana"/>
          <w:sz w:val="20"/>
          <w:lang w:val="tr-TR"/>
        </w:rPr>
        <w:t>como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resultado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informa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correspondiente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1A614B6A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evalúa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Apelaciones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tomando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opinión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Asesor</w:t>
      </w:r>
      <w:proofErr w:type="spellEnd"/>
      <w:r>
        <w:rPr>
          <w:rFonts w:ascii="Verdana" w:hAnsi="Verdana" w:cs="Verdana"/>
          <w:sz w:val="20"/>
          <w:lang w:val="tr-TR"/>
        </w:rPr>
        <w:t xml:space="preserve"> Legal, si es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196DB21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se ha de </w:t>
      </w:r>
      <w:proofErr w:type="spellStart"/>
      <w:r>
        <w:rPr>
          <w:rFonts w:ascii="Verdana" w:hAnsi="Verdana" w:cs="Verdana"/>
          <w:sz w:val="20"/>
          <w:lang w:val="tr-TR"/>
        </w:rPr>
        <w:t>comunicar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objetante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o </w:t>
      </w:r>
      <w:proofErr w:type="spellStart"/>
      <w:r>
        <w:rPr>
          <w:rFonts w:ascii="Verdana" w:hAnsi="Verdana" w:cs="Verdana"/>
          <w:sz w:val="20"/>
          <w:lang w:val="tr-TR"/>
        </w:rPr>
        <w:t>revisada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aprobada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personas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ajenas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asuntos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objeto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objeción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3614E9D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notificada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objetante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o por un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diferente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designado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él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711BDC5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Si el </w:t>
      </w:r>
      <w:proofErr w:type="spellStart"/>
      <w:r>
        <w:rPr>
          <w:rFonts w:ascii="Verdana" w:hAnsi="Verdana" w:cs="Verdana"/>
          <w:sz w:val="20"/>
          <w:lang w:val="tr-TR"/>
        </w:rPr>
        <w:t>objetante</w:t>
      </w:r>
      <w:proofErr w:type="spellEnd"/>
      <w:r>
        <w:rPr>
          <w:rFonts w:ascii="Verdana" w:hAnsi="Verdana" w:cs="Verdana"/>
          <w:sz w:val="20"/>
          <w:lang w:val="tr-TR"/>
        </w:rPr>
        <w:t xml:space="preserve"> no </w:t>
      </w:r>
      <w:proofErr w:type="spellStart"/>
      <w:r>
        <w:rPr>
          <w:rFonts w:ascii="Verdana" w:hAnsi="Verdana" w:cs="Verdana"/>
          <w:sz w:val="20"/>
          <w:lang w:val="tr-TR"/>
        </w:rPr>
        <w:t>acepta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decisión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tomada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puede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iniciar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legales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3EA9F526" w14:textId="77777777" w:rsidR="00432E43" w:rsidRDefault="00000000">
      <w:pPr>
        <w:pStyle w:val="GvdeMetni"/>
        <w:numPr>
          <w:ilvl w:val="0"/>
          <w:numId w:val="4"/>
        </w:numPr>
        <w:ind w:left="142" w:right="-143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eastAsia="Verdana" w:hAnsi="Verdana" w:cs="Verdana"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Apelaciones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actúa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Instrucción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Reglas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Trabajo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Comité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S-1.03-T01.</w:t>
      </w:r>
    </w:p>
    <w:p w14:paraId="192E90B1" w14:textId="77777777" w:rsidR="00432E43" w:rsidRDefault="00000000">
      <w:pPr>
        <w:pStyle w:val="Balk2"/>
      </w:pPr>
      <w:bookmarkStart w:id="15" w:name="__RefHeading___Toc12375338"/>
      <w:bookmarkEnd w:id="15"/>
      <w:proofErr w:type="spellStart"/>
      <w:r>
        <w:rPr>
          <w:szCs w:val="22"/>
        </w:rPr>
        <w:t>Prevención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Repetición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Queja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Objeción</w:t>
      </w:r>
      <w:proofErr w:type="spellEnd"/>
    </w:p>
    <w:p w14:paraId="2A71A0A2" w14:textId="77777777" w:rsidR="00432E43" w:rsidRDefault="00000000">
      <w:pPr>
        <w:pStyle w:val="Balk2"/>
        <w:jc w:val="both"/>
        <w:rPr>
          <w:b w:val="0"/>
          <w:sz w:val="20"/>
        </w:rPr>
      </w:pPr>
      <w:bookmarkStart w:id="16" w:name="__RefHeading___Toc41_1866489901"/>
      <w:bookmarkEnd w:id="16"/>
      <w:r>
        <w:rPr>
          <w:b w:val="0"/>
          <w:sz w:val="20"/>
        </w:rPr>
        <w:t xml:space="preserve">De </w:t>
      </w:r>
      <w:proofErr w:type="spellStart"/>
      <w:r>
        <w:rPr>
          <w:b w:val="0"/>
          <w:sz w:val="20"/>
        </w:rPr>
        <w:t>acuerdo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con</w:t>
      </w:r>
      <w:proofErr w:type="spellEnd"/>
      <w:r>
        <w:rPr>
          <w:b w:val="0"/>
          <w:sz w:val="20"/>
        </w:rPr>
        <w:t xml:space="preserve"> el </w:t>
      </w:r>
      <w:proofErr w:type="spellStart"/>
      <w:r>
        <w:rPr>
          <w:b w:val="0"/>
          <w:sz w:val="20"/>
        </w:rPr>
        <w:t>Procedimiento</w:t>
      </w:r>
      <w:proofErr w:type="spellEnd"/>
      <w:r>
        <w:rPr>
          <w:b w:val="0"/>
          <w:sz w:val="20"/>
        </w:rPr>
        <w:t xml:space="preserve"> de </w:t>
      </w:r>
      <w:proofErr w:type="spellStart"/>
      <w:r>
        <w:rPr>
          <w:b w:val="0"/>
          <w:sz w:val="20"/>
        </w:rPr>
        <w:t>Acciones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Correctivas</w:t>
      </w:r>
      <w:proofErr w:type="spellEnd"/>
      <w:r>
        <w:rPr>
          <w:b w:val="0"/>
          <w:sz w:val="20"/>
        </w:rPr>
        <w:t xml:space="preserve"> y </w:t>
      </w:r>
      <w:proofErr w:type="spellStart"/>
      <w:r>
        <w:rPr>
          <w:b w:val="0"/>
          <w:sz w:val="20"/>
        </w:rPr>
        <w:t>Preventivas</w:t>
      </w:r>
      <w:proofErr w:type="spellEnd"/>
      <w:r>
        <w:rPr>
          <w:b w:val="0"/>
          <w:sz w:val="20"/>
        </w:rPr>
        <w:t xml:space="preserve"> S-0.06, se </w:t>
      </w:r>
      <w:proofErr w:type="spellStart"/>
      <w:r>
        <w:rPr>
          <w:b w:val="0"/>
          <w:sz w:val="20"/>
        </w:rPr>
        <w:t>inician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acciones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correctivas</w:t>
      </w:r>
      <w:proofErr w:type="spellEnd"/>
      <w:r>
        <w:rPr>
          <w:b w:val="0"/>
          <w:sz w:val="20"/>
        </w:rPr>
        <w:t xml:space="preserve"> y </w:t>
      </w:r>
      <w:proofErr w:type="spellStart"/>
      <w:r>
        <w:rPr>
          <w:b w:val="0"/>
          <w:sz w:val="20"/>
        </w:rPr>
        <w:t>preventivas</w:t>
      </w:r>
      <w:proofErr w:type="spellEnd"/>
      <w:r>
        <w:rPr>
          <w:b w:val="0"/>
          <w:sz w:val="20"/>
        </w:rPr>
        <w:t xml:space="preserve"> y se </w:t>
      </w:r>
      <w:proofErr w:type="spellStart"/>
      <w:r>
        <w:rPr>
          <w:b w:val="0"/>
          <w:sz w:val="20"/>
        </w:rPr>
        <w:t>previene</w:t>
      </w:r>
      <w:proofErr w:type="spellEnd"/>
      <w:r>
        <w:rPr>
          <w:b w:val="0"/>
          <w:sz w:val="20"/>
        </w:rPr>
        <w:t xml:space="preserve"> la </w:t>
      </w:r>
      <w:proofErr w:type="spellStart"/>
      <w:r>
        <w:rPr>
          <w:b w:val="0"/>
          <w:sz w:val="20"/>
        </w:rPr>
        <w:t>repetición</w:t>
      </w:r>
      <w:proofErr w:type="spellEnd"/>
      <w:r>
        <w:rPr>
          <w:b w:val="0"/>
          <w:sz w:val="20"/>
        </w:rPr>
        <w:t xml:space="preserve"> de la </w:t>
      </w:r>
      <w:proofErr w:type="spellStart"/>
      <w:r>
        <w:rPr>
          <w:b w:val="0"/>
          <w:sz w:val="20"/>
        </w:rPr>
        <w:t>queja</w:t>
      </w:r>
      <w:proofErr w:type="spellEnd"/>
      <w:r>
        <w:rPr>
          <w:b w:val="0"/>
          <w:sz w:val="20"/>
        </w:rPr>
        <w:t>/</w:t>
      </w:r>
      <w:proofErr w:type="spellStart"/>
      <w:r>
        <w:rPr>
          <w:b w:val="0"/>
          <w:sz w:val="20"/>
        </w:rPr>
        <w:t>objeción</w:t>
      </w:r>
      <w:proofErr w:type="spellEnd"/>
      <w:r>
        <w:rPr>
          <w:b w:val="0"/>
          <w:sz w:val="20"/>
        </w:rPr>
        <w:t>.</w:t>
      </w:r>
    </w:p>
    <w:p w14:paraId="642C2185" w14:textId="77777777" w:rsidR="00432E43" w:rsidRDefault="00000000">
      <w:pPr>
        <w:pStyle w:val="Balk2"/>
      </w:pPr>
      <w:bookmarkStart w:id="17" w:name="__RefHeading___Toc12375340"/>
      <w:bookmarkEnd w:id="17"/>
      <w:proofErr w:type="spellStart"/>
      <w:r>
        <w:t>Acuerdo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Cliente</w:t>
      </w:r>
      <w:proofErr w:type="spellEnd"/>
    </w:p>
    <w:p w14:paraId="0C0ECDC7" w14:textId="77777777" w:rsidR="00432E43" w:rsidRDefault="00000000">
      <w:pPr>
        <w:pStyle w:val="GvdeMetni"/>
        <w:numPr>
          <w:ilvl w:val="0"/>
          <w:numId w:val="14"/>
        </w:numPr>
        <w:spacing w:before="72"/>
        <w:ind w:left="426" w:right="-143" w:hanging="425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t>Después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determina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motivo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principal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solicitud</w:t>
      </w:r>
      <w:proofErr w:type="spellEnd"/>
      <w:r>
        <w:rPr>
          <w:rFonts w:ascii="Verdana" w:hAnsi="Verdana" w:cs="Verdana"/>
          <w:sz w:val="20"/>
          <w:lang w:val="tr-TR"/>
        </w:rPr>
        <w:t xml:space="preserve">. Si se </w:t>
      </w:r>
      <w:proofErr w:type="spellStart"/>
      <w:r>
        <w:rPr>
          <w:rFonts w:ascii="Verdana" w:hAnsi="Verdana" w:cs="Verdana"/>
          <w:sz w:val="20"/>
          <w:lang w:val="tr-TR"/>
        </w:rPr>
        <w:t>decide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tiene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razón</w:t>
      </w:r>
      <w:proofErr w:type="spellEnd"/>
      <w:r>
        <w:rPr>
          <w:rFonts w:ascii="Verdana" w:hAnsi="Verdana" w:cs="Verdana"/>
          <w:sz w:val="20"/>
          <w:lang w:val="tr-TR"/>
        </w:rPr>
        <w:t xml:space="preserve">, se </w:t>
      </w:r>
      <w:proofErr w:type="spellStart"/>
      <w:r>
        <w:rPr>
          <w:rFonts w:ascii="Verdana" w:hAnsi="Verdana" w:cs="Verdana"/>
          <w:sz w:val="20"/>
          <w:lang w:val="tr-TR"/>
        </w:rPr>
        <w:t>inicia</w:t>
      </w:r>
      <w:proofErr w:type="spellEnd"/>
      <w:r>
        <w:rPr>
          <w:rFonts w:ascii="Verdana" w:hAnsi="Verdana" w:cs="Verdana"/>
          <w:sz w:val="20"/>
          <w:lang w:val="tr-TR"/>
        </w:rPr>
        <w:t xml:space="preserve"> una </w:t>
      </w:r>
      <w:proofErr w:type="spellStart"/>
      <w:r>
        <w:rPr>
          <w:rFonts w:ascii="Verdana" w:hAnsi="Verdana" w:cs="Verdana"/>
          <w:sz w:val="20"/>
          <w:lang w:val="tr-TR"/>
        </w:rPr>
        <w:t>acción</w:t>
      </w:r>
      <w:proofErr w:type="spellEnd"/>
      <w:r>
        <w:rPr>
          <w:rFonts w:ascii="Verdana" w:hAnsi="Verdana" w:cs="Verdana"/>
          <w:sz w:val="20"/>
          <w:lang w:val="tr-TR"/>
        </w:rPr>
        <w:t xml:space="preserve"> para </w:t>
      </w:r>
      <w:proofErr w:type="spellStart"/>
      <w:r>
        <w:rPr>
          <w:rFonts w:ascii="Verdana" w:hAnsi="Verdana" w:cs="Verdana"/>
          <w:sz w:val="20"/>
          <w:lang w:val="tr-TR"/>
        </w:rPr>
        <w:t>eliminar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queja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2EF8F255" w14:textId="77777777" w:rsidR="00432E43" w:rsidRDefault="00000000">
      <w:pPr>
        <w:pStyle w:val="GvdeMetni"/>
        <w:numPr>
          <w:ilvl w:val="0"/>
          <w:numId w:val="14"/>
        </w:numPr>
        <w:spacing w:before="72"/>
        <w:ind w:left="426" w:right="-143" w:hanging="425"/>
        <w:jc w:val="both"/>
      </w:pPr>
      <w:r>
        <w:rPr>
          <w:rFonts w:ascii="Verdana" w:hAnsi="Verdana" w:cs="Verdana"/>
          <w:sz w:val="20"/>
          <w:lang w:val="tr-TR"/>
        </w:rPr>
        <w:t xml:space="preserve">En </w:t>
      </w:r>
      <w:proofErr w:type="spellStart"/>
      <w:r>
        <w:rPr>
          <w:rFonts w:ascii="Verdana" w:hAnsi="Verdana" w:cs="Verdana"/>
          <w:sz w:val="20"/>
          <w:lang w:val="tr-TR"/>
        </w:rPr>
        <w:t>línea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opinión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General y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políticas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Global, se </w:t>
      </w:r>
      <w:proofErr w:type="spellStart"/>
      <w:r>
        <w:rPr>
          <w:rFonts w:ascii="Verdana" w:hAnsi="Verdana" w:cs="Verdana"/>
          <w:sz w:val="20"/>
          <w:lang w:val="tr-TR"/>
        </w:rPr>
        <w:t>llega</w:t>
      </w:r>
      <w:proofErr w:type="spellEnd"/>
      <w:r>
        <w:rPr>
          <w:rFonts w:ascii="Verdana" w:hAnsi="Verdana" w:cs="Verdana"/>
          <w:sz w:val="20"/>
          <w:lang w:val="tr-TR"/>
        </w:rPr>
        <w:t xml:space="preserve"> a un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1F7572B5" w14:textId="77777777" w:rsidR="00432E43" w:rsidRDefault="00000000">
      <w:pPr>
        <w:pStyle w:val="GvdeMetni"/>
        <w:numPr>
          <w:ilvl w:val="0"/>
          <w:numId w:val="14"/>
        </w:numPr>
        <w:spacing w:before="72"/>
        <w:ind w:left="426" w:right="-143" w:hanging="425"/>
        <w:jc w:val="both"/>
      </w:pPr>
      <w:r>
        <w:rPr>
          <w:rFonts w:ascii="Verdana" w:hAnsi="Verdana" w:cs="Verdana"/>
          <w:sz w:val="20"/>
          <w:lang w:val="tr-TR"/>
        </w:rPr>
        <w:lastRenderedPageBreak/>
        <w:t xml:space="preserve">Los </w:t>
      </w:r>
      <w:proofErr w:type="spellStart"/>
      <w:r>
        <w:rPr>
          <w:rFonts w:ascii="Verdana" w:hAnsi="Verdana" w:cs="Verdana"/>
          <w:sz w:val="20"/>
          <w:lang w:val="tr-TR"/>
        </w:rPr>
        <w:t>resultados</w:t>
      </w:r>
      <w:proofErr w:type="spellEnd"/>
      <w:r>
        <w:rPr>
          <w:rFonts w:ascii="Verdana" w:hAnsi="Verdana" w:cs="Verdana"/>
          <w:sz w:val="20"/>
          <w:lang w:val="tr-TR"/>
        </w:rPr>
        <w:t xml:space="preserve"> de la </w:t>
      </w:r>
      <w:proofErr w:type="spellStart"/>
      <w:r>
        <w:rPr>
          <w:rFonts w:ascii="Verdana" w:hAnsi="Verdana" w:cs="Verdana"/>
          <w:sz w:val="20"/>
          <w:lang w:val="tr-TR"/>
        </w:rPr>
        <w:t>evaluación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y el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son </w:t>
      </w:r>
      <w:proofErr w:type="spellStart"/>
      <w:r>
        <w:rPr>
          <w:rFonts w:ascii="Verdana" w:hAnsi="Verdana" w:cs="Verdana"/>
          <w:sz w:val="20"/>
          <w:lang w:val="tr-TR"/>
        </w:rPr>
        <w:t>presentados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cliente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escrito</w:t>
      </w:r>
      <w:proofErr w:type="spellEnd"/>
      <w:r>
        <w:rPr>
          <w:rFonts w:ascii="Verdana" w:hAnsi="Verdana" w:cs="Verdana"/>
          <w:sz w:val="20"/>
          <w:lang w:val="tr-TR"/>
        </w:rPr>
        <w:t xml:space="preserve"> por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o el </w:t>
      </w:r>
      <w:proofErr w:type="spellStart"/>
      <w:r>
        <w:rPr>
          <w:rFonts w:ascii="Verdana" w:hAnsi="Verdana" w:cs="Verdana"/>
          <w:sz w:val="20"/>
          <w:lang w:val="tr-TR"/>
        </w:rPr>
        <w:t>Gerente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Departamento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correspondiente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77BE5CB2" w14:textId="77777777" w:rsidR="00432E43" w:rsidRDefault="00000000">
      <w:pPr>
        <w:pStyle w:val="Balk2"/>
        <w:spacing w:after="240"/>
        <w:ind w:left="578" w:hanging="578"/>
        <w:rPr>
          <w:szCs w:val="22"/>
        </w:rPr>
      </w:pPr>
      <w:bookmarkStart w:id="18" w:name="__RefHeading___Toc12375341"/>
      <w:bookmarkEnd w:id="18"/>
      <w:proofErr w:type="spellStart"/>
      <w:r>
        <w:rPr>
          <w:szCs w:val="22"/>
        </w:rPr>
        <w:t>Seguimiento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Medición</w:t>
      </w:r>
      <w:proofErr w:type="spellEnd"/>
      <w:r>
        <w:rPr>
          <w:szCs w:val="22"/>
        </w:rPr>
        <w:t xml:space="preserve"> de la </w:t>
      </w:r>
      <w:proofErr w:type="spellStart"/>
      <w:r>
        <w:rPr>
          <w:szCs w:val="22"/>
        </w:rPr>
        <w:t>Satisfacción</w:t>
      </w:r>
      <w:proofErr w:type="spellEnd"/>
      <w:r>
        <w:rPr>
          <w:szCs w:val="22"/>
        </w:rPr>
        <w:t xml:space="preserve"> del </w:t>
      </w:r>
      <w:proofErr w:type="spellStart"/>
      <w:r>
        <w:rPr>
          <w:szCs w:val="22"/>
        </w:rPr>
        <w:t>Cliente</w:t>
      </w:r>
      <w:proofErr w:type="spellEnd"/>
    </w:p>
    <w:p w14:paraId="5CF71BCA" w14:textId="77777777" w:rsidR="00432E43" w:rsidRDefault="00000000">
      <w:pPr>
        <w:numPr>
          <w:ilvl w:val="0"/>
          <w:numId w:val="16"/>
        </w:numPr>
        <w:spacing w:after="120"/>
        <w:ind w:left="425" w:right="-142" w:hanging="357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El </w:t>
      </w:r>
      <w:proofErr w:type="spellStart"/>
      <w:r>
        <w:rPr>
          <w:rFonts w:ascii="Verdana" w:hAnsi="Verdana" w:cs="Verdana"/>
          <w:lang w:val="tr-TR"/>
        </w:rPr>
        <w:t>Representante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Gerencia</w:t>
      </w:r>
      <w:proofErr w:type="spellEnd"/>
      <w:r>
        <w:rPr>
          <w:rFonts w:ascii="Verdana" w:hAnsi="Verdana" w:cs="Verdana"/>
          <w:lang w:val="tr-TR"/>
        </w:rPr>
        <w:t xml:space="preserve"> es </w:t>
      </w:r>
      <w:proofErr w:type="spellStart"/>
      <w:r>
        <w:rPr>
          <w:rFonts w:ascii="Verdana" w:hAnsi="Verdana" w:cs="Verdana"/>
          <w:lang w:val="tr-TR"/>
        </w:rPr>
        <w:t>responsable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monitorear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medir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en Selecta Global.</w:t>
      </w:r>
    </w:p>
    <w:p w14:paraId="0EF1E96E" w14:textId="77777777" w:rsidR="00432E43" w:rsidRDefault="00000000">
      <w:pPr>
        <w:numPr>
          <w:ilvl w:val="0"/>
          <w:numId w:val="16"/>
        </w:numPr>
        <w:spacing w:after="120"/>
        <w:ind w:left="425" w:right="-142" w:hanging="357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La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evalúa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cada</w:t>
      </w:r>
      <w:proofErr w:type="spellEnd"/>
      <w:r>
        <w:rPr>
          <w:rFonts w:ascii="Verdana" w:hAnsi="Verdana" w:cs="Verdana"/>
          <w:lang w:val="tr-TR"/>
        </w:rPr>
        <w:t xml:space="preserve"> 12 meses.</w:t>
      </w:r>
    </w:p>
    <w:p w14:paraId="7194DAA7" w14:textId="77777777" w:rsidR="00432E43" w:rsidRDefault="00000000">
      <w:pPr>
        <w:numPr>
          <w:ilvl w:val="0"/>
          <w:numId w:val="16"/>
        </w:numPr>
        <w:spacing w:after="120"/>
        <w:ind w:left="425" w:right="-142" w:hanging="357"/>
        <w:jc w:val="both"/>
      </w:pPr>
      <w:r>
        <w:rPr>
          <w:rFonts w:ascii="Verdana" w:hAnsi="Verdana" w:cs="Verdana"/>
          <w:lang w:val="tr-TR"/>
        </w:rPr>
        <w:t xml:space="preserve">S-1.03-F02 El </w:t>
      </w:r>
      <w:proofErr w:type="spellStart"/>
      <w:r>
        <w:rPr>
          <w:rFonts w:ascii="Verdana" w:hAnsi="Verdana" w:cs="Verdana"/>
          <w:lang w:val="tr-TR"/>
        </w:rPr>
        <w:t>Cuestionario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utiliza</w:t>
      </w:r>
      <w:proofErr w:type="spellEnd"/>
      <w:r>
        <w:rPr>
          <w:rFonts w:ascii="Verdana" w:hAnsi="Verdana" w:cs="Verdana"/>
          <w:lang w:val="tr-TR"/>
        </w:rPr>
        <w:t xml:space="preserve"> para </w:t>
      </w:r>
      <w:proofErr w:type="spellStart"/>
      <w:r>
        <w:rPr>
          <w:rFonts w:ascii="Verdana" w:hAnsi="Verdana" w:cs="Verdana"/>
          <w:lang w:val="tr-TR"/>
        </w:rPr>
        <w:t>medir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>.</w:t>
      </w:r>
    </w:p>
    <w:p w14:paraId="7695339F" w14:textId="77777777" w:rsidR="00432E43" w:rsidRDefault="00000000">
      <w:pPr>
        <w:numPr>
          <w:ilvl w:val="0"/>
          <w:numId w:val="16"/>
        </w:numPr>
        <w:ind w:left="426" w:right="-142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La </w:t>
      </w:r>
      <w:proofErr w:type="spellStart"/>
      <w:r>
        <w:rPr>
          <w:rFonts w:ascii="Verdana" w:hAnsi="Verdana" w:cs="Verdana"/>
          <w:lang w:val="tr-TR"/>
        </w:rPr>
        <w:t>selección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enviará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encuesta</w:t>
      </w:r>
      <w:proofErr w:type="spellEnd"/>
      <w:r>
        <w:rPr>
          <w:rFonts w:ascii="Verdana" w:hAnsi="Verdana" w:cs="Verdana"/>
          <w:lang w:val="tr-TR"/>
        </w:rPr>
        <w:t xml:space="preserve"> la </w:t>
      </w:r>
      <w:proofErr w:type="spellStart"/>
      <w:r>
        <w:rPr>
          <w:rFonts w:ascii="Verdana" w:hAnsi="Verdana" w:cs="Verdana"/>
          <w:lang w:val="tr-TR"/>
        </w:rPr>
        <w:t>decide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Jefe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o el </w:t>
      </w:r>
      <w:proofErr w:type="spellStart"/>
      <w:r>
        <w:rPr>
          <w:rFonts w:ascii="Verdana" w:hAnsi="Verdana" w:cs="Verdana"/>
          <w:lang w:val="tr-TR"/>
        </w:rPr>
        <w:t>Jefe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como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resultado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obtención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listas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están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trabajando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constantemente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desde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contabilidad</w:t>
      </w:r>
      <w:proofErr w:type="spellEnd"/>
      <w:r>
        <w:rPr>
          <w:rFonts w:ascii="Verdana" w:hAnsi="Verdana" w:cs="Verdana"/>
          <w:lang w:val="tr-TR"/>
        </w:rPr>
        <w:t>.</w:t>
      </w:r>
    </w:p>
    <w:p w14:paraId="54EA5DCF" w14:textId="77777777" w:rsidR="00432E43" w:rsidRDefault="00000000">
      <w:pPr>
        <w:numPr>
          <w:ilvl w:val="0"/>
          <w:numId w:val="16"/>
        </w:numPr>
        <w:spacing w:before="144"/>
        <w:ind w:left="426" w:right="-284" w:hanging="284"/>
        <w:jc w:val="both"/>
      </w:pPr>
      <w:r>
        <w:rPr>
          <w:rFonts w:ascii="Verdana" w:hAnsi="Verdana" w:cs="Verdana"/>
          <w:lang w:val="tr-TR"/>
        </w:rPr>
        <w:t xml:space="preserve">El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Oficina</w:t>
      </w:r>
      <w:proofErr w:type="spellEnd"/>
      <w:r>
        <w:rPr>
          <w:rFonts w:ascii="Verdana" w:hAnsi="Verdana" w:cs="Verdana"/>
          <w:lang w:val="tr-TR"/>
        </w:rPr>
        <w:t xml:space="preserve"> y/o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envía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encuestas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clientes</w:t>
      </w:r>
      <w:proofErr w:type="spellEnd"/>
      <w:r>
        <w:rPr>
          <w:rFonts w:ascii="Verdana" w:hAnsi="Verdana" w:cs="Verdana"/>
          <w:lang w:val="tr-TR"/>
        </w:rPr>
        <w:t xml:space="preserve"> por </w:t>
      </w:r>
      <w:proofErr w:type="spellStart"/>
      <w:r>
        <w:rPr>
          <w:rFonts w:ascii="Verdana" w:hAnsi="Verdana" w:cs="Verdana"/>
          <w:lang w:val="tr-TR"/>
        </w:rPr>
        <w:t>correo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electrónico</w:t>
      </w:r>
      <w:proofErr w:type="spellEnd"/>
      <w:r>
        <w:rPr>
          <w:rFonts w:ascii="Verdana" w:hAnsi="Verdana" w:cs="Verdana"/>
          <w:lang w:val="tr-TR"/>
        </w:rPr>
        <w:t>.</w:t>
      </w:r>
    </w:p>
    <w:p w14:paraId="3E1DC290" w14:textId="77777777" w:rsidR="00432E43" w:rsidRDefault="00000000">
      <w:pPr>
        <w:numPr>
          <w:ilvl w:val="0"/>
          <w:numId w:val="16"/>
        </w:numPr>
        <w:spacing w:before="144"/>
        <w:ind w:left="426" w:right="-284" w:hanging="284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Es </w:t>
      </w:r>
      <w:proofErr w:type="spellStart"/>
      <w:r>
        <w:rPr>
          <w:rFonts w:ascii="Verdana" w:hAnsi="Verdana" w:cs="Verdana"/>
          <w:lang w:val="tr-TR"/>
        </w:rPr>
        <w:t>responsabilidad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Oficina</w:t>
      </w:r>
      <w:proofErr w:type="spellEnd"/>
      <w:r>
        <w:rPr>
          <w:rFonts w:ascii="Verdana" w:hAnsi="Verdana" w:cs="Verdana"/>
          <w:lang w:val="tr-TR"/>
        </w:rPr>
        <w:t xml:space="preserve"> y del </w:t>
      </w:r>
      <w:proofErr w:type="spellStart"/>
      <w:r>
        <w:rPr>
          <w:rFonts w:ascii="Verdana" w:hAnsi="Verdana" w:cs="Verdana"/>
          <w:lang w:val="tr-TR"/>
        </w:rPr>
        <w:t>Gerente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Departamento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devolver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encuestas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enviar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resultados</w:t>
      </w:r>
      <w:proofErr w:type="spellEnd"/>
      <w:r>
        <w:rPr>
          <w:rFonts w:ascii="Verdana" w:hAnsi="Verdana" w:cs="Verdana"/>
          <w:lang w:val="tr-TR"/>
        </w:rPr>
        <w:t xml:space="preserve"> al </w:t>
      </w:r>
      <w:proofErr w:type="spellStart"/>
      <w:r>
        <w:rPr>
          <w:rFonts w:ascii="Verdana" w:hAnsi="Verdana" w:cs="Verdana"/>
          <w:lang w:val="tr-TR"/>
        </w:rPr>
        <w:t>Representante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Gerencia</w:t>
      </w:r>
      <w:proofErr w:type="spellEnd"/>
      <w:r>
        <w:rPr>
          <w:rFonts w:ascii="Verdana" w:hAnsi="Verdana" w:cs="Verdana"/>
          <w:lang w:val="tr-TR"/>
        </w:rPr>
        <w:t>.</w:t>
      </w:r>
    </w:p>
    <w:p w14:paraId="16BDEB87" w14:textId="77777777" w:rsidR="00432E43" w:rsidRDefault="00000000">
      <w:pPr>
        <w:numPr>
          <w:ilvl w:val="0"/>
          <w:numId w:val="16"/>
        </w:numPr>
        <w:spacing w:before="144"/>
        <w:ind w:left="426" w:right="-284" w:hanging="284"/>
        <w:jc w:val="both"/>
        <w:rPr>
          <w:rFonts w:ascii="Verdana" w:hAnsi="Verdana" w:cs="Verdana"/>
          <w:lang w:val="tr-TR"/>
        </w:rPr>
      </w:pP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encuestas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recopiladas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procesan</w:t>
      </w:r>
      <w:proofErr w:type="spellEnd"/>
      <w:r>
        <w:rPr>
          <w:rFonts w:ascii="Verdana" w:hAnsi="Verdana" w:cs="Verdana"/>
          <w:lang w:val="tr-TR"/>
        </w:rPr>
        <w:t xml:space="preserve"> en S-1.03-F03 </w:t>
      </w:r>
      <w:proofErr w:type="spellStart"/>
      <w:r>
        <w:rPr>
          <w:rFonts w:ascii="Verdana" w:hAnsi="Verdana" w:cs="Verdana"/>
          <w:lang w:val="tr-TR"/>
        </w:rPr>
        <w:t>Análisis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datos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por </w:t>
      </w:r>
      <w:proofErr w:type="spellStart"/>
      <w:r>
        <w:rPr>
          <w:rFonts w:ascii="Verdana" w:hAnsi="Verdana" w:cs="Verdana"/>
          <w:lang w:val="tr-TR"/>
        </w:rPr>
        <w:t>parte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representante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gerencia</w:t>
      </w:r>
      <w:proofErr w:type="spellEnd"/>
      <w:r>
        <w:rPr>
          <w:rFonts w:ascii="Verdana" w:hAnsi="Verdana" w:cs="Verdana"/>
          <w:lang w:val="tr-TR"/>
        </w:rPr>
        <w:t xml:space="preserve"> y se mide el </w:t>
      </w:r>
      <w:proofErr w:type="spellStart"/>
      <w:r>
        <w:rPr>
          <w:rFonts w:ascii="Verdana" w:hAnsi="Verdana" w:cs="Verdana"/>
          <w:lang w:val="tr-TR"/>
        </w:rPr>
        <w:t>resultado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>.</w:t>
      </w:r>
    </w:p>
    <w:p w14:paraId="0F014C06" w14:textId="77777777" w:rsidR="00432E43" w:rsidRDefault="00432E43">
      <w:pPr>
        <w:pStyle w:val="ListeParagraf"/>
        <w:tabs>
          <w:tab w:val="left" w:pos="709"/>
        </w:tabs>
        <w:ind w:left="709"/>
        <w:jc w:val="both"/>
        <w:rPr>
          <w:rFonts w:ascii="Verdana" w:hAnsi="Verdana" w:cs="Verdana"/>
          <w:lang w:val="tr-TR"/>
        </w:rPr>
      </w:pPr>
    </w:p>
    <w:p w14:paraId="3FCE3B93" w14:textId="77777777" w:rsidR="00432E43" w:rsidRDefault="00000000">
      <w:pPr>
        <w:numPr>
          <w:ilvl w:val="0"/>
          <w:numId w:val="16"/>
        </w:numPr>
        <w:ind w:left="426" w:right="-142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Si el </w:t>
      </w:r>
      <w:proofErr w:type="spellStart"/>
      <w:r>
        <w:rPr>
          <w:rFonts w:ascii="Verdana" w:hAnsi="Verdana" w:cs="Verdana"/>
          <w:lang w:val="tr-TR"/>
        </w:rPr>
        <w:t>motivo</w:t>
      </w:r>
      <w:proofErr w:type="spellEnd"/>
      <w:r>
        <w:rPr>
          <w:rFonts w:ascii="Verdana" w:hAnsi="Verdana" w:cs="Verdana"/>
          <w:lang w:val="tr-TR"/>
        </w:rPr>
        <w:t xml:space="preserve"> no se </w:t>
      </w:r>
      <w:proofErr w:type="spellStart"/>
      <w:r>
        <w:rPr>
          <w:rFonts w:ascii="Verdana" w:hAnsi="Verdana" w:cs="Verdana"/>
          <w:lang w:val="tr-TR"/>
        </w:rPr>
        <w:t>indica</w:t>
      </w:r>
      <w:proofErr w:type="spellEnd"/>
      <w:r>
        <w:rPr>
          <w:rFonts w:ascii="Verdana" w:hAnsi="Verdana" w:cs="Verdana"/>
          <w:lang w:val="tr-TR"/>
        </w:rPr>
        <w:t xml:space="preserve"> en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encuestas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, si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preguntas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obtienen</w:t>
      </w:r>
      <w:proofErr w:type="spellEnd"/>
      <w:r>
        <w:rPr>
          <w:rFonts w:ascii="Verdana" w:hAnsi="Verdana" w:cs="Verdana"/>
          <w:lang w:val="tr-TR"/>
        </w:rPr>
        <w:t xml:space="preserve"> una </w:t>
      </w:r>
      <w:proofErr w:type="spellStart"/>
      <w:r>
        <w:rPr>
          <w:rFonts w:ascii="Verdana" w:hAnsi="Verdana" w:cs="Verdana"/>
          <w:lang w:val="tr-TR"/>
        </w:rPr>
        <w:t>puntuación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desempeño</w:t>
      </w:r>
      <w:proofErr w:type="spellEnd"/>
      <w:r>
        <w:rPr>
          <w:rFonts w:ascii="Verdana" w:hAnsi="Verdana" w:cs="Verdana"/>
          <w:lang w:val="tr-TR"/>
        </w:rPr>
        <w:t xml:space="preserve"> de 3 (</w:t>
      </w:r>
      <w:proofErr w:type="spellStart"/>
      <w:r>
        <w:rPr>
          <w:rFonts w:ascii="Verdana" w:hAnsi="Verdana" w:cs="Verdana"/>
          <w:lang w:val="tr-TR"/>
        </w:rPr>
        <w:t>Promedio</w:t>
      </w:r>
      <w:proofErr w:type="spellEnd"/>
      <w:proofErr w:type="gramStart"/>
      <w:r>
        <w:rPr>
          <w:rFonts w:ascii="Verdana" w:hAnsi="Verdana" w:cs="Verdana"/>
          <w:lang w:val="tr-TR"/>
        </w:rPr>
        <w:t>) -</w:t>
      </w:r>
      <w:proofErr w:type="gramEnd"/>
      <w:r>
        <w:rPr>
          <w:rFonts w:ascii="Verdana" w:hAnsi="Verdana" w:cs="Verdana"/>
          <w:lang w:val="tr-TR"/>
        </w:rPr>
        <w:t xml:space="preserve"> 2 (</w:t>
      </w:r>
      <w:proofErr w:type="spellStart"/>
      <w:r>
        <w:rPr>
          <w:rFonts w:ascii="Verdana" w:hAnsi="Verdana" w:cs="Verdana"/>
          <w:lang w:val="tr-TR"/>
        </w:rPr>
        <w:t>Malo</w:t>
      </w:r>
      <w:proofErr w:type="spellEnd"/>
      <w:r>
        <w:rPr>
          <w:rFonts w:ascii="Verdana" w:hAnsi="Verdana" w:cs="Verdana"/>
          <w:lang w:val="tr-TR"/>
        </w:rPr>
        <w:t>) y 1 (</w:t>
      </w:r>
      <w:proofErr w:type="spellStart"/>
      <w:r>
        <w:rPr>
          <w:rFonts w:ascii="Verdana" w:hAnsi="Verdana" w:cs="Verdana"/>
          <w:lang w:val="tr-TR"/>
        </w:rPr>
        <w:t>Muy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Malo</w:t>
      </w:r>
      <w:proofErr w:type="spellEnd"/>
      <w:r>
        <w:rPr>
          <w:rFonts w:ascii="Verdana" w:hAnsi="Verdana" w:cs="Verdana"/>
          <w:lang w:val="tr-TR"/>
        </w:rPr>
        <w:t xml:space="preserve">), se </w:t>
      </w:r>
      <w:proofErr w:type="spellStart"/>
      <w:r>
        <w:rPr>
          <w:rFonts w:ascii="Verdana" w:hAnsi="Verdana" w:cs="Verdana"/>
          <w:lang w:val="tr-TR"/>
        </w:rPr>
        <w:t>buscan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motivos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insatisfacción</w:t>
      </w:r>
      <w:proofErr w:type="spellEnd"/>
      <w:r>
        <w:rPr>
          <w:rFonts w:ascii="Verdana" w:hAnsi="Verdana" w:cs="Verdana"/>
          <w:lang w:val="tr-TR"/>
        </w:rPr>
        <w:t xml:space="preserve"> o </w:t>
      </w:r>
      <w:proofErr w:type="spellStart"/>
      <w:r>
        <w:rPr>
          <w:rFonts w:ascii="Verdana" w:hAnsi="Verdana" w:cs="Verdana"/>
          <w:lang w:val="tr-TR"/>
        </w:rPr>
        <w:t>sugerencias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mejora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comunicándose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al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por </w:t>
      </w:r>
      <w:proofErr w:type="spellStart"/>
      <w:r>
        <w:rPr>
          <w:rFonts w:ascii="Verdana" w:hAnsi="Verdana" w:cs="Verdana"/>
          <w:lang w:val="tr-TR"/>
        </w:rPr>
        <w:t>escrito</w:t>
      </w:r>
      <w:proofErr w:type="spellEnd"/>
      <w:r>
        <w:rPr>
          <w:rFonts w:ascii="Verdana" w:hAnsi="Verdana" w:cs="Verdana"/>
          <w:lang w:val="tr-TR"/>
        </w:rPr>
        <w:t xml:space="preserve"> para la </w:t>
      </w:r>
      <w:proofErr w:type="spellStart"/>
      <w:r>
        <w:rPr>
          <w:rFonts w:ascii="Verdana" w:hAnsi="Verdana" w:cs="Verdana"/>
          <w:lang w:val="tr-TR"/>
        </w:rPr>
        <w:t>mejora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desarrollo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sistema</w:t>
      </w:r>
      <w:proofErr w:type="spellEnd"/>
      <w:r>
        <w:rPr>
          <w:rFonts w:ascii="Verdana" w:hAnsi="Verdana" w:cs="Verdana"/>
          <w:lang w:val="tr-TR"/>
        </w:rPr>
        <w:t>.</w:t>
      </w:r>
    </w:p>
    <w:p w14:paraId="65D0557C" w14:textId="77777777" w:rsidR="00432E43" w:rsidRDefault="00432E43">
      <w:pPr>
        <w:ind w:left="426" w:right="-142"/>
        <w:jc w:val="both"/>
        <w:rPr>
          <w:rFonts w:ascii="Verdana" w:hAnsi="Verdana" w:cs="Verdana"/>
          <w:lang w:val="tr-TR"/>
        </w:rPr>
      </w:pPr>
    </w:p>
    <w:p w14:paraId="046C6325" w14:textId="77777777" w:rsidR="00432E43" w:rsidRDefault="00000000">
      <w:pPr>
        <w:numPr>
          <w:ilvl w:val="0"/>
          <w:numId w:val="16"/>
        </w:numPr>
        <w:ind w:left="426" w:right="-142"/>
        <w:jc w:val="both"/>
        <w:rPr>
          <w:rFonts w:ascii="Verdana" w:hAnsi="Verdana" w:cs="Verdana"/>
          <w:lang w:val="tr-TR"/>
        </w:rPr>
      </w:pPr>
      <w:proofErr w:type="spellStart"/>
      <w:r>
        <w:rPr>
          <w:rFonts w:ascii="Verdana" w:hAnsi="Verdana" w:cs="Verdana"/>
          <w:lang w:val="tr-TR"/>
        </w:rPr>
        <w:t>Como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resultado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evaluación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desempeño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resultados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encuesta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anual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, se </w:t>
      </w:r>
      <w:proofErr w:type="spellStart"/>
      <w:r>
        <w:rPr>
          <w:rFonts w:ascii="Verdana" w:hAnsi="Verdana" w:cs="Verdana"/>
          <w:lang w:val="tr-TR"/>
        </w:rPr>
        <w:t>inician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acciones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correctivas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preventivas</w:t>
      </w:r>
      <w:proofErr w:type="spellEnd"/>
      <w:r>
        <w:rPr>
          <w:rFonts w:ascii="Verdana" w:hAnsi="Verdana" w:cs="Verdana"/>
          <w:lang w:val="tr-TR"/>
        </w:rPr>
        <w:t xml:space="preserve"> para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aspectos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que</w:t>
      </w:r>
      <w:proofErr w:type="spellEnd"/>
      <w:r>
        <w:rPr>
          <w:rFonts w:ascii="Verdana" w:hAnsi="Verdana" w:cs="Verdana"/>
          <w:lang w:val="tr-TR"/>
        </w:rPr>
        <w:t xml:space="preserve"> son </w:t>
      </w:r>
      <w:proofErr w:type="spellStart"/>
      <w:r>
        <w:rPr>
          <w:rFonts w:ascii="Verdana" w:hAnsi="Verdana" w:cs="Verdana"/>
          <w:lang w:val="tr-TR"/>
        </w:rPr>
        <w:t>evaluados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como</w:t>
      </w:r>
      <w:proofErr w:type="spellEnd"/>
      <w:r>
        <w:rPr>
          <w:rFonts w:ascii="Verdana" w:hAnsi="Verdana" w:cs="Verdana"/>
          <w:lang w:val="tr-TR"/>
        </w:rPr>
        <w:t xml:space="preserve"> “</w:t>
      </w:r>
      <w:proofErr w:type="spellStart"/>
      <w:r>
        <w:rPr>
          <w:rFonts w:ascii="Verdana" w:hAnsi="Verdana" w:cs="Verdana"/>
          <w:lang w:val="tr-TR"/>
        </w:rPr>
        <w:t>muy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malo</w:t>
      </w:r>
      <w:proofErr w:type="spellEnd"/>
      <w:r>
        <w:rPr>
          <w:rFonts w:ascii="Verdana" w:hAnsi="Verdana" w:cs="Verdana"/>
          <w:lang w:val="tr-TR"/>
        </w:rPr>
        <w:t>” y/o “</w:t>
      </w:r>
      <w:proofErr w:type="spellStart"/>
      <w:r>
        <w:rPr>
          <w:rFonts w:ascii="Verdana" w:hAnsi="Verdana" w:cs="Verdana"/>
          <w:lang w:val="tr-TR"/>
        </w:rPr>
        <w:t>malo</w:t>
      </w:r>
      <w:proofErr w:type="spellEnd"/>
      <w:r>
        <w:rPr>
          <w:rFonts w:ascii="Verdana" w:hAnsi="Verdana" w:cs="Verdana"/>
          <w:lang w:val="tr-TR"/>
        </w:rPr>
        <w:t xml:space="preserve">” por </w:t>
      </w:r>
      <w:proofErr w:type="spellStart"/>
      <w:r>
        <w:rPr>
          <w:rFonts w:ascii="Verdana" w:hAnsi="Verdana" w:cs="Verdana"/>
          <w:lang w:val="tr-TR"/>
        </w:rPr>
        <w:t>encima</w:t>
      </w:r>
      <w:proofErr w:type="spellEnd"/>
      <w:r>
        <w:rPr>
          <w:rFonts w:ascii="Verdana" w:hAnsi="Verdana" w:cs="Verdana"/>
          <w:lang w:val="tr-TR"/>
        </w:rPr>
        <w:t xml:space="preserve"> del 25%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participantes</w:t>
      </w:r>
      <w:proofErr w:type="spellEnd"/>
      <w:r>
        <w:rPr>
          <w:rFonts w:ascii="Verdana" w:hAnsi="Verdana" w:cs="Verdana"/>
          <w:lang w:val="tr-TR"/>
        </w:rPr>
        <w:t xml:space="preserve"> y “</w:t>
      </w:r>
      <w:proofErr w:type="spellStart"/>
      <w:r>
        <w:rPr>
          <w:rFonts w:ascii="Verdana" w:hAnsi="Verdana" w:cs="Verdana"/>
          <w:lang w:val="tr-TR"/>
        </w:rPr>
        <w:t>moderado</w:t>
      </w:r>
      <w:proofErr w:type="spellEnd"/>
      <w:r>
        <w:rPr>
          <w:rFonts w:ascii="Verdana" w:hAnsi="Verdana" w:cs="Verdana"/>
          <w:lang w:val="tr-TR"/>
        </w:rPr>
        <w:t xml:space="preserve">” </w:t>
      </w:r>
      <w:proofErr w:type="spellStart"/>
      <w:r>
        <w:rPr>
          <w:rFonts w:ascii="Verdana" w:hAnsi="Verdana" w:cs="Verdana"/>
          <w:lang w:val="tr-TR"/>
        </w:rPr>
        <w:t>más</w:t>
      </w:r>
      <w:proofErr w:type="spellEnd"/>
      <w:r>
        <w:rPr>
          <w:rFonts w:ascii="Verdana" w:hAnsi="Verdana" w:cs="Verdana"/>
          <w:lang w:val="tr-TR"/>
        </w:rPr>
        <w:t xml:space="preserve"> del 50% </w:t>
      </w:r>
      <w:proofErr w:type="spellStart"/>
      <w:r>
        <w:rPr>
          <w:rFonts w:ascii="Verdana" w:hAnsi="Verdana" w:cs="Verdana"/>
          <w:lang w:val="tr-TR"/>
        </w:rPr>
        <w:t>asignándolo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determina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método</w:t>
      </w:r>
      <w:proofErr w:type="spellEnd"/>
      <w:r>
        <w:rPr>
          <w:rFonts w:ascii="Verdana" w:hAnsi="Verdana" w:cs="Verdana"/>
          <w:lang w:val="tr-TR"/>
        </w:rPr>
        <w:t>.</w:t>
      </w:r>
    </w:p>
    <w:p w14:paraId="4D2447E6" w14:textId="77777777" w:rsidR="00432E43" w:rsidRDefault="00432E43">
      <w:pPr>
        <w:ind w:left="426" w:right="-142"/>
        <w:jc w:val="both"/>
        <w:rPr>
          <w:rFonts w:ascii="Verdana" w:hAnsi="Verdana" w:cs="Verdana"/>
          <w:lang w:val="tr-TR"/>
        </w:rPr>
      </w:pPr>
    </w:p>
    <w:p w14:paraId="03E72B02" w14:textId="77777777" w:rsidR="00432E43" w:rsidRDefault="00000000">
      <w:pPr>
        <w:numPr>
          <w:ilvl w:val="0"/>
          <w:numId w:val="16"/>
        </w:numPr>
        <w:ind w:left="426" w:right="-142"/>
        <w:jc w:val="both"/>
      </w:pPr>
      <w:proofErr w:type="spellStart"/>
      <w:r>
        <w:rPr>
          <w:rFonts w:ascii="Verdana" w:hAnsi="Verdana" w:cs="Verdana"/>
          <w:lang w:val="tr-TR"/>
        </w:rPr>
        <w:t>Cuando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considera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necesario</w:t>
      </w:r>
      <w:proofErr w:type="spellEnd"/>
      <w:r>
        <w:rPr>
          <w:rFonts w:ascii="Verdana" w:hAnsi="Verdana" w:cs="Verdana"/>
          <w:lang w:val="tr-TR"/>
        </w:rPr>
        <w:t xml:space="preserve">, </w:t>
      </w:r>
      <w:proofErr w:type="spellStart"/>
      <w:r>
        <w:rPr>
          <w:rFonts w:ascii="Verdana" w:hAnsi="Verdana" w:cs="Verdana"/>
          <w:lang w:val="tr-TR"/>
        </w:rPr>
        <w:t>estos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métodos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comunican</w:t>
      </w:r>
      <w:proofErr w:type="spellEnd"/>
      <w:r>
        <w:rPr>
          <w:rFonts w:ascii="Verdana" w:hAnsi="Verdana" w:cs="Verdana"/>
          <w:lang w:val="tr-TR"/>
        </w:rPr>
        <w:t xml:space="preserve"> a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empleados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un plan de </w:t>
      </w:r>
      <w:proofErr w:type="spellStart"/>
      <w:r>
        <w:rPr>
          <w:rFonts w:ascii="Verdana" w:hAnsi="Verdana" w:cs="Verdana"/>
          <w:lang w:val="tr-TR"/>
        </w:rPr>
        <w:t>acción</w:t>
      </w:r>
      <w:proofErr w:type="spellEnd"/>
      <w:r>
        <w:rPr>
          <w:rFonts w:ascii="Verdana" w:hAnsi="Verdana" w:cs="Verdana"/>
          <w:lang w:val="tr-TR"/>
        </w:rPr>
        <w:t xml:space="preserve"> y se </w:t>
      </w:r>
      <w:proofErr w:type="spellStart"/>
      <w:r>
        <w:rPr>
          <w:rFonts w:ascii="Verdana" w:hAnsi="Verdana" w:cs="Verdana"/>
          <w:lang w:val="tr-TR"/>
        </w:rPr>
        <w:t>realizan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asignaciones</w:t>
      </w:r>
      <w:proofErr w:type="spellEnd"/>
      <w:r>
        <w:rPr>
          <w:rFonts w:ascii="Verdana" w:hAnsi="Verdana" w:cs="Verdana"/>
          <w:lang w:val="tr-TR"/>
        </w:rPr>
        <w:t xml:space="preserve">.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actividades</w:t>
      </w:r>
      <w:proofErr w:type="spellEnd"/>
      <w:r>
        <w:rPr>
          <w:rFonts w:ascii="Verdana" w:hAnsi="Verdana" w:cs="Verdana"/>
          <w:lang w:val="tr-TR"/>
        </w:rPr>
        <w:t xml:space="preserve"> son </w:t>
      </w:r>
      <w:proofErr w:type="spellStart"/>
      <w:r>
        <w:rPr>
          <w:rFonts w:ascii="Verdana" w:hAnsi="Verdana" w:cs="Verdana"/>
          <w:lang w:val="tr-TR"/>
        </w:rPr>
        <w:t>seguidas</w:t>
      </w:r>
      <w:proofErr w:type="spellEnd"/>
      <w:r>
        <w:rPr>
          <w:rFonts w:ascii="Verdana" w:hAnsi="Verdana" w:cs="Verdana"/>
          <w:lang w:val="tr-TR"/>
        </w:rPr>
        <w:t xml:space="preserve"> por el </w:t>
      </w:r>
      <w:proofErr w:type="spellStart"/>
      <w:r>
        <w:rPr>
          <w:rFonts w:ascii="Verdana" w:hAnsi="Verdana" w:cs="Verdana"/>
          <w:lang w:val="tr-TR"/>
        </w:rPr>
        <w:t>Representante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Dirección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concluyen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trabajo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los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departamentos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correspondientes</w:t>
      </w:r>
      <w:proofErr w:type="spellEnd"/>
      <w:r>
        <w:rPr>
          <w:rFonts w:ascii="Verdana" w:hAnsi="Verdana" w:cs="Verdana"/>
          <w:lang w:val="tr-TR"/>
        </w:rPr>
        <w:t>.</w:t>
      </w:r>
    </w:p>
    <w:p w14:paraId="5669A725" w14:textId="77777777" w:rsidR="00432E43" w:rsidRDefault="00432E43">
      <w:pPr>
        <w:ind w:left="426" w:right="-142"/>
        <w:jc w:val="both"/>
        <w:rPr>
          <w:rFonts w:ascii="Verdana" w:hAnsi="Verdana" w:cs="Verdana"/>
          <w:lang w:val="tr-TR"/>
        </w:rPr>
      </w:pPr>
    </w:p>
    <w:p w14:paraId="2E3E11DB" w14:textId="77777777" w:rsidR="00432E43" w:rsidRDefault="00000000">
      <w:pPr>
        <w:numPr>
          <w:ilvl w:val="0"/>
          <w:numId w:val="16"/>
        </w:numPr>
        <w:ind w:left="426" w:right="-142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La </w:t>
      </w:r>
      <w:proofErr w:type="spellStart"/>
      <w:r>
        <w:rPr>
          <w:rFonts w:ascii="Verdana" w:hAnsi="Verdana" w:cs="Verdana"/>
          <w:lang w:val="tr-TR"/>
        </w:rPr>
        <w:t>correspondencia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comunicación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es </w:t>
      </w:r>
      <w:proofErr w:type="spellStart"/>
      <w:r>
        <w:rPr>
          <w:rFonts w:ascii="Verdana" w:hAnsi="Verdana" w:cs="Verdana"/>
          <w:lang w:val="tr-TR"/>
        </w:rPr>
        <w:t>guardada</w:t>
      </w:r>
      <w:proofErr w:type="spellEnd"/>
      <w:r>
        <w:rPr>
          <w:rFonts w:ascii="Verdana" w:hAnsi="Verdana" w:cs="Verdana"/>
          <w:lang w:val="tr-TR"/>
        </w:rPr>
        <w:t xml:space="preserve"> por el </w:t>
      </w:r>
      <w:proofErr w:type="spellStart"/>
      <w:r>
        <w:rPr>
          <w:rFonts w:ascii="Verdana" w:hAnsi="Verdana" w:cs="Verdana"/>
          <w:lang w:val="tr-TR"/>
        </w:rPr>
        <w:t>Representante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Gerencia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junto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con</w:t>
      </w:r>
      <w:proofErr w:type="spellEnd"/>
      <w:r>
        <w:rPr>
          <w:rFonts w:ascii="Verdana" w:hAnsi="Verdana" w:cs="Verdana"/>
          <w:lang w:val="tr-TR"/>
        </w:rPr>
        <w:t xml:space="preserve"> el </w:t>
      </w:r>
      <w:proofErr w:type="spellStart"/>
      <w:r>
        <w:rPr>
          <w:rFonts w:ascii="Verdana" w:hAnsi="Verdana" w:cs="Verdana"/>
          <w:lang w:val="tr-TR"/>
        </w:rPr>
        <w:t>cuestionario</w:t>
      </w:r>
      <w:proofErr w:type="spellEnd"/>
      <w:r>
        <w:rPr>
          <w:rFonts w:ascii="Verdana" w:hAnsi="Verdana" w:cs="Verdana"/>
          <w:lang w:val="tr-TR"/>
        </w:rPr>
        <w:t>.</w:t>
      </w:r>
    </w:p>
    <w:p w14:paraId="1E3FC91D" w14:textId="77777777" w:rsidR="00432E43" w:rsidRDefault="00432E43">
      <w:pPr>
        <w:ind w:left="426" w:right="-142"/>
        <w:jc w:val="both"/>
        <w:rPr>
          <w:rFonts w:ascii="Verdana" w:hAnsi="Verdana" w:cs="Verdana"/>
          <w:lang w:val="tr-TR"/>
        </w:rPr>
      </w:pPr>
    </w:p>
    <w:p w14:paraId="10132D1D" w14:textId="77777777" w:rsidR="00432E43" w:rsidRDefault="00000000">
      <w:pPr>
        <w:numPr>
          <w:ilvl w:val="0"/>
          <w:numId w:val="16"/>
        </w:numPr>
        <w:ind w:left="426" w:right="-142"/>
        <w:jc w:val="both"/>
        <w:rPr>
          <w:rFonts w:ascii="Verdana" w:hAnsi="Verdana" w:cs="Verdana"/>
          <w:lang w:val="tr-TR"/>
        </w:rPr>
      </w:pPr>
      <w:r>
        <w:rPr>
          <w:rFonts w:ascii="Verdana" w:hAnsi="Verdana" w:cs="Verdana"/>
          <w:lang w:val="tr-TR"/>
        </w:rPr>
        <w:t xml:space="preserve">Los </w:t>
      </w:r>
      <w:proofErr w:type="spellStart"/>
      <w:r>
        <w:rPr>
          <w:rFonts w:ascii="Verdana" w:hAnsi="Verdana" w:cs="Verdana"/>
          <w:lang w:val="tr-TR"/>
        </w:rPr>
        <w:t>resultados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satisfacción</w:t>
      </w:r>
      <w:proofErr w:type="spellEnd"/>
      <w:r>
        <w:rPr>
          <w:rFonts w:ascii="Verdana" w:hAnsi="Verdana" w:cs="Verdana"/>
          <w:lang w:val="tr-TR"/>
        </w:rPr>
        <w:t xml:space="preserve"> del </w:t>
      </w:r>
      <w:proofErr w:type="spellStart"/>
      <w:r>
        <w:rPr>
          <w:rFonts w:ascii="Verdana" w:hAnsi="Verdana" w:cs="Verdana"/>
          <w:lang w:val="tr-TR"/>
        </w:rPr>
        <w:t>cliente</w:t>
      </w:r>
      <w:proofErr w:type="spellEnd"/>
      <w:r>
        <w:rPr>
          <w:rFonts w:ascii="Verdana" w:hAnsi="Verdana" w:cs="Verdana"/>
          <w:lang w:val="tr-TR"/>
        </w:rPr>
        <w:t xml:space="preserve"> se </w:t>
      </w:r>
      <w:proofErr w:type="spellStart"/>
      <w:r>
        <w:rPr>
          <w:rFonts w:ascii="Verdana" w:hAnsi="Verdana" w:cs="Verdana"/>
          <w:lang w:val="tr-TR"/>
        </w:rPr>
        <w:t>discuten</w:t>
      </w:r>
      <w:proofErr w:type="spellEnd"/>
      <w:r>
        <w:rPr>
          <w:rFonts w:ascii="Verdana" w:hAnsi="Verdana" w:cs="Verdana"/>
          <w:lang w:val="tr-TR"/>
        </w:rPr>
        <w:t xml:space="preserve"> y </w:t>
      </w:r>
      <w:proofErr w:type="spellStart"/>
      <w:r>
        <w:rPr>
          <w:rFonts w:ascii="Verdana" w:hAnsi="Verdana" w:cs="Verdana"/>
          <w:lang w:val="tr-TR"/>
        </w:rPr>
        <w:t>evalúan</w:t>
      </w:r>
      <w:proofErr w:type="spellEnd"/>
      <w:r>
        <w:rPr>
          <w:rFonts w:ascii="Verdana" w:hAnsi="Verdana" w:cs="Verdana"/>
          <w:lang w:val="tr-TR"/>
        </w:rPr>
        <w:t xml:space="preserve"> en </w:t>
      </w:r>
      <w:proofErr w:type="spellStart"/>
      <w:r>
        <w:rPr>
          <w:rFonts w:ascii="Verdana" w:hAnsi="Verdana" w:cs="Verdana"/>
          <w:lang w:val="tr-TR"/>
        </w:rPr>
        <w:t>las</w:t>
      </w:r>
      <w:proofErr w:type="spellEnd"/>
      <w:r>
        <w:rPr>
          <w:rFonts w:ascii="Verdana" w:hAnsi="Verdana" w:cs="Verdana"/>
          <w:lang w:val="tr-TR"/>
        </w:rPr>
        <w:t xml:space="preserve"> </w:t>
      </w:r>
      <w:proofErr w:type="spellStart"/>
      <w:r>
        <w:rPr>
          <w:rFonts w:ascii="Verdana" w:hAnsi="Verdana" w:cs="Verdana"/>
          <w:lang w:val="tr-TR"/>
        </w:rPr>
        <w:t>reuniones</w:t>
      </w:r>
      <w:proofErr w:type="spellEnd"/>
      <w:r>
        <w:rPr>
          <w:rFonts w:ascii="Verdana" w:hAnsi="Verdana" w:cs="Verdana"/>
          <w:lang w:val="tr-TR"/>
        </w:rPr>
        <w:t xml:space="preserve"> de </w:t>
      </w:r>
      <w:proofErr w:type="spellStart"/>
      <w:r>
        <w:rPr>
          <w:rFonts w:ascii="Verdana" w:hAnsi="Verdana" w:cs="Verdana"/>
          <w:lang w:val="tr-TR"/>
        </w:rPr>
        <w:t>Revisión</w:t>
      </w:r>
      <w:proofErr w:type="spellEnd"/>
      <w:r>
        <w:rPr>
          <w:rFonts w:ascii="Verdana" w:hAnsi="Verdana" w:cs="Verdana"/>
          <w:lang w:val="tr-TR"/>
        </w:rPr>
        <w:t xml:space="preserve"> de la </w:t>
      </w:r>
      <w:proofErr w:type="spellStart"/>
      <w:r>
        <w:rPr>
          <w:rFonts w:ascii="Verdana" w:hAnsi="Verdana" w:cs="Verdana"/>
          <w:lang w:val="tr-TR"/>
        </w:rPr>
        <w:t>Gerencia</w:t>
      </w:r>
      <w:proofErr w:type="spellEnd"/>
      <w:r>
        <w:rPr>
          <w:rFonts w:ascii="Verdana" w:hAnsi="Verdana" w:cs="Verdana"/>
          <w:lang w:val="tr-TR"/>
        </w:rPr>
        <w:t>.</w:t>
      </w:r>
    </w:p>
    <w:p w14:paraId="4AB66144" w14:textId="77777777" w:rsidR="00432E43" w:rsidRDefault="00000000">
      <w:pPr>
        <w:pStyle w:val="Balk2"/>
        <w:rPr>
          <w:szCs w:val="22"/>
        </w:rPr>
      </w:pPr>
      <w:bookmarkStart w:id="19" w:name="__RefHeading___Toc12375346"/>
      <w:bookmarkEnd w:id="19"/>
      <w:proofErr w:type="spellStart"/>
      <w:r>
        <w:rPr>
          <w:szCs w:val="22"/>
        </w:rPr>
        <w:t>Seguridad</w:t>
      </w:r>
      <w:proofErr w:type="spellEnd"/>
    </w:p>
    <w:p w14:paraId="51BE3C3A" w14:textId="77777777" w:rsidR="00432E43" w:rsidRDefault="00000000">
      <w:pPr>
        <w:pStyle w:val="GvdeMetni"/>
        <w:numPr>
          <w:ilvl w:val="0"/>
          <w:numId w:val="13"/>
        </w:numPr>
        <w:ind w:right="-284"/>
        <w:jc w:val="both"/>
        <w:rPr>
          <w:rFonts w:ascii="Verdana" w:hAnsi="Verdana" w:cs="Verdana"/>
          <w:sz w:val="20"/>
          <w:lang w:val="tr-TR"/>
        </w:rPr>
      </w:pPr>
      <w:r>
        <w:rPr>
          <w:rFonts w:ascii="Verdana" w:hAnsi="Verdana" w:cs="Verdana"/>
          <w:sz w:val="20"/>
          <w:lang w:val="tr-TR"/>
        </w:rPr>
        <w:t xml:space="preserve">La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sobre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realizadas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ámbito</w:t>
      </w:r>
      <w:proofErr w:type="spellEnd"/>
      <w:r>
        <w:rPr>
          <w:rFonts w:ascii="Verdana" w:hAnsi="Verdana" w:cs="Verdana"/>
          <w:sz w:val="20"/>
          <w:lang w:val="tr-TR"/>
        </w:rPr>
        <w:t xml:space="preserve"> de este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es </w:t>
      </w:r>
      <w:proofErr w:type="spellStart"/>
      <w:r>
        <w:rPr>
          <w:rFonts w:ascii="Verdana" w:hAnsi="Verdana" w:cs="Verdana"/>
          <w:sz w:val="20"/>
          <w:lang w:val="tr-TR"/>
        </w:rPr>
        <w:t>confidencial</w:t>
      </w:r>
      <w:proofErr w:type="spellEnd"/>
      <w:r>
        <w:rPr>
          <w:rFonts w:ascii="Verdana" w:hAnsi="Verdana" w:cs="Verdana"/>
          <w:sz w:val="20"/>
          <w:lang w:val="tr-TR"/>
        </w:rPr>
        <w:t xml:space="preserve"> y no es </w:t>
      </w:r>
      <w:proofErr w:type="spellStart"/>
      <w:r>
        <w:rPr>
          <w:rFonts w:ascii="Verdana" w:hAnsi="Verdana" w:cs="Verdana"/>
          <w:sz w:val="20"/>
          <w:lang w:val="tr-TR"/>
        </w:rPr>
        <w:t>revelada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terceros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bajo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ninguna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circunstancia</w:t>
      </w:r>
      <w:proofErr w:type="spellEnd"/>
      <w:r>
        <w:rPr>
          <w:rFonts w:ascii="Verdana" w:hAnsi="Verdana" w:cs="Verdana"/>
          <w:sz w:val="20"/>
          <w:lang w:val="tr-TR"/>
        </w:rPr>
        <w:t xml:space="preserve">, </w:t>
      </w:r>
      <w:proofErr w:type="spellStart"/>
      <w:r>
        <w:rPr>
          <w:rFonts w:ascii="Verdana" w:hAnsi="Verdana" w:cs="Verdana"/>
          <w:sz w:val="20"/>
          <w:lang w:val="tr-TR"/>
        </w:rPr>
        <w:t>excepto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organizaciones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que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acreditan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autorizan</w:t>
      </w:r>
      <w:proofErr w:type="spellEnd"/>
      <w:r>
        <w:rPr>
          <w:rFonts w:ascii="Verdana" w:hAnsi="Verdana" w:cs="Verdana"/>
          <w:sz w:val="20"/>
          <w:lang w:val="tr-TR"/>
        </w:rPr>
        <w:t xml:space="preserve"> a Selecta Global </w:t>
      </w:r>
      <w:proofErr w:type="spellStart"/>
      <w:r>
        <w:rPr>
          <w:rFonts w:ascii="Verdana" w:hAnsi="Verdana" w:cs="Verdana"/>
          <w:sz w:val="20"/>
          <w:lang w:val="tr-TR"/>
        </w:rPr>
        <w:t>cuando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necesario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A1964B3" w14:textId="77777777" w:rsidR="00432E43" w:rsidRDefault="00000000">
      <w:pPr>
        <w:pStyle w:val="GvdeMetni"/>
        <w:numPr>
          <w:ilvl w:val="0"/>
          <w:numId w:val="13"/>
        </w:numPr>
        <w:ind w:right="-284"/>
        <w:jc w:val="both"/>
        <w:rPr>
          <w:rFonts w:ascii="Verdana" w:hAnsi="Verdana" w:cs="Verdana"/>
          <w:sz w:val="20"/>
          <w:lang w:val="tr-TR"/>
        </w:rPr>
      </w:pPr>
      <w:proofErr w:type="spellStart"/>
      <w:r>
        <w:rPr>
          <w:rFonts w:ascii="Verdana" w:hAnsi="Verdana" w:cs="Verdana"/>
          <w:sz w:val="20"/>
          <w:lang w:val="tr-TR"/>
        </w:rPr>
        <w:lastRenderedPageBreak/>
        <w:t>Cuando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sea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obligatorio</w:t>
      </w:r>
      <w:proofErr w:type="spellEnd"/>
      <w:r>
        <w:rPr>
          <w:rFonts w:ascii="Verdana" w:hAnsi="Verdana" w:cs="Verdana"/>
          <w:sz w:val="20"/>
          <w:lang w:val="tr-TR"/>
        </w:rPr>
        <w:t xml:space="preserve"> dar </w:t>
      </w:r>
      <w:proofErr w:type="spellStart"/>
      <w:r>
        <w:rPr>
          <w:rFonts w:ascii="Verdana" w:hAnsi="Verdana" w:cs="Verdana"/>
          <w:sz w:val="20"/>
          <w:lang w:val="tr-TR"/>
        </w:rPr>
        <w:t>información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a </w:t>
      </w:r>
      <w:proofErr w:type="spellStart"/>
      <w:r>
        <w:rPr>
          <w:rFonts w:ascii="Verdana" w:hAnsi="Verdana" w:cs="Verdana"/>
          <w:sz w:val="20"/>
          <w:lang w:val="tr-TR"/>
        </w:rPr>
        <w:t>terceros</w:t>
      </w:r>
      <w:proofErr w:type="spellEnd"/>
      <w:r>
        <w:rPr>
          <w:rFonts w:ascii="Verdana" w:hAnsi="Verdana" w:cs="Verdana"/>
          <w:sz w:val="20"/>
          <w:lang w:val="tr-TR"/>
        </w:rPr>
        <w:t xml:space="preserve"> por </w:t>
      </w:r>
      <w:proofErr w:type="spellStart"/>
      <w:r>
        <w:rPr>
          <w:rFonts w:ascii="Verdana" w:hAnsi="Verdana" w:cs="Verdana"/>
          <w:sz w:val="20"/>
          <w:lang w:val="tr-TR"/>
        </w:rPr>
        <w:t>obligación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legal, se </w:t>
      </w:r>
      <w:proofErr w:type="spellStart"/>
      <w:r>
        <w:rPr>
          <w:rFonts w:ascii="Verdana" w:hAnsi="Verdana" w:cs="Verdana"/>
          <w:sz w:val="20"/>
          <w:lang w:val="tr-TR"/>
        </w:rPr>
        <w:t>informa</w:t>
      </w:r>
      <w:proofErr w:type="spellEnd"/>
      <w:r>
        <w:rPr>
          <w:rFonts w:ascii="Verdana" w:hAnsi="Verdana" w:cs="Verdana"/>
          <w:sz w:val="20"/>
          <w:lang w:val="tr-TR"/>
        </w:rPr>
        <w:t xml:space="preserve"> al </w:t>
      </w:r>
      <w:proofErr w:type="spellStart"/>
      <w:r>
        <w:rPr>
          <w:rFonts w:ascii="Verdana" w:hAnsi="Verdana" w:cs="Verdana"/>
          <w:sz w:val="20"/>
          <w:lang w:val="tr-TR"/>
        </w:rPr>
        <w:t>solicitante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esta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situación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B38E286" w14:textId="77777777" w:rsidR="00432E43" w:rsidRDefault="00432E43">
      <w:pPr>
        <w:pStyle w:val="GvdeMetni"/>
        <w:ind w:left="426" w:right="-284"/>
        <w:jc w:val="both"/>
        <w:rPr>
          <w:rFonts w:ascii="Verdana" w:hAnsi="Verdana" w:cs="Verdana"/>
          <w:sz w:val="20"/>
          <w:lang w:val="tr-TR"/>
        </w:rPr>
      </w:pPr>
    </w:p>
    <w:p w14:paraId="2056EAB3" w14:textId="77777777" w:rsidR="00432E43" w:rsidRDefault="00000000">
      <w:pPr>
        <w:pStyle w:val="Balk1"/>
        <w:spacing w:after="240"/>
        <w:ind w:left="431" w:hanging="431"/>
      </w:pPr>
      <w:bookmarkStart w:id="20" w:name="__RefHeading___Toc12375348"/>
      <w:bookmarkEnd w:id="20"/>
      <w:proofErr w:type="spellStart"/>
      <w:r>
        <w:t>Distribución</w:t>
      </w:r>
      <w:proofErr w:type="spellEnd"/>
      <w:r>
        <w:t xml:space="preserve"> – </w:t>
      </w:r>
      <w:proofErr w:type="spellStart"/>
      <w:r>
        <w:t>Registro</w:t>
      </w:r>
      <w:proofErr w:type="spellEnd"/>
      <w:r>
        <w:t xml:space="preserve"> y </w:t>
      </w:r>
      <w:proofErr w:type="spellStart"/>
      <w:r>
        <w:t>Seguimiento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14:paraId="41769B76" w14:textId="148EEFE1" w:rsidR="00432E43" w:rsidRDefault="00000000">
      <w:pPr>
        <w:pStyle w:val="GvdeMetni"/>
        <w:spacing w:before="120" w:after="120"/>
        <w:ind w:right="-284"/>
        <w:jc w:val="both"/>
      </w:pPr>
      <w:proofErr w:type="spellStart"/>
      <w:r>
        <w:rPr>
          <w:rFonts w:ascii="Verdana" w:hAnsi="Verdana" w:cs="Verdana"/>
          <w:b/>
          <w:bCs/>
          <w:sz w:val="20"/>
          <w:lang w:val="tr-TR"/>
        </w:rPr>
        <w:t>Distribución</w:t>
      </w:r>
      <w:proofErr w:type="spellEnd"/>
      <w:r>
        <w:rPr>
          <w:rFonts w:ascii="Verdana" w:hAnsi="Verdana" w:cs="Verdana"/>
          <w:b/>
          <w:bCs/>
          <w:sz w:val="20"/>
          <w:lang w:val="tr-TR"/>
        </w:rPr>
        <w:t>:</w:t>
      </w:r>
      <w:r w:rsidR="00D85B16">
        <w:rPr>
          <w:rFonts w:ascii="Verdana" w:hAnsi="Verdana" w:cs="Verdana"/>
          <w:b/>
          <w:bCs/>
          <w:sz w:val="20"/>
          <w:lang w:val="tr-TR"/>
        </w:rPr>
        <w:t xml:space="preserve"> </w:t>
      </w:r>
      <w:r>
        <w:rPr>
          <w:rFonts w:ascii="Verdana" w:hAnsi="Verdana" w:cs="Verdana"/>
          <w:sz w:val="20"/>
          <w:lang w:val="tr-TR"/>
        </w:rPr>
        <w:t xml:space="preserve">Este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se </w:t>
      </w:r>
      <w:proofErr w:type="spellStart"/>
      <w:r>
        <w:rPr>
          <w:rFonts w:ascii="Verdana" w:hAnsi="Verdana" w:cs="Verdana"/>
          <w:sz w:val="20"/>
          <w:lang w:val="tr-TR"/>
        </w:rPr>
        <w:t>distribuye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de Control de </w:t>
      </w:r>
      <w:proofErr w:type="spellStart"/>
      <w:r>
        <w:rPr>
          <w:rFonts w:ascii="Verdana" w:hAnsi="Verdana" w:cs="Verdana"/>
          <w:sz w:val="20"/>
          <w:lang w:val="tr-TR"/>
        </w:rPr>
        <w:t>Documentos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7E36CDD0" w14:textId="4A953F0A" w:rsidR="00432E43" w:rsidRDefault="00000000">
      <w:pPr>
        <w:spacing w:before="120" w:line="240" w:lineRule="exact"/>
        <w:ind w:right="141"/>
        <w:jc w:val="both"/>
      </w:pPr>
      <w:proofErr w:type="spellStart"/>
      <w:r>
        <w:rPr>
          <w:rFonts w:ascii="Verdana" w:hAnsi="Verdana" w:cs="Verdana"/>
          <w:b/>
          <w:bCs/>
        </w:rPr>
        <w:t>Presentación</w:t>
      </w:r>
      <w:proofErr w:type="spellEnd"/>
      <w:r>
        <w:rPr>
          <w:rFonts w:ascii="Verdana" w:hAnsi="Verdana" w:cs="Verdana"/>
          <w:b/>
          <w:bCs/>
        </w:rPr>
        <w:t>:</w:t>
      </w:r>
      <w:r w:rsidR="00D85B16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Se </w:t>
      </w:r>
      <w:proofErr w:type="spellStart"/>
      <w:r>
        <w:rPr>
          <w:rFonts w:ascii="Verdana" w:hAnsi="Verdana" w:cs="Verdana"/>
        </w:rPr>
        <w:t>asegura</w:t>
      </w:r>
      <w:proofErr w:type="spellEnd"/>
      <w:r>
        <w:rPr>
          <w:rFonts w:ascii="Verdana" w:hAnsi="Verdana" w:cs="Verdana"/>
        </w:rPr>
        <w:t xml:space="preserve"> que </w:t>
      </w:r>
      <w:proofErr w:type="spellStart"/>
      <w:r>
        <w:rPr>
          <w:rFonts w:ascii="Verdana" w:hAnsi="Verdana" w:cs="Verdana"/>
        </w:rPr>
        <w:t>todos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los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documentos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relacionados</w:t>
      </w:r>
      <w:proofErr w:type="spellEnd"/>
      <w:r>
        <w:rPr>
          <w:rFonts w:ascii="Verdana" w:hAnsi="Verdana" w:cs="Verdana"/>
        </w:rPr>
        <w:t xml:space="preserve"> con </w:t>
      </w:r>
      <w:proofErr w:type="spellStart"/>
      <w:r>
        <w:rPr>
          <w:rFonts w:ascii="Verdana" w:hAnsi="Verdana" w:cs="Verdana"/>
        </w:rPr>
        <w:t>los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servicios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realizados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ámbito</w:t>
      </w:r>
      <w:proofErr w:type="spellEnd"/>
      <w:r>
        <w:rPr>
          <w:rFonts w:ascii="Verdana" w:hAnsi="Verdana" w:cs="Verdana"/>
        </w:rPr>
        <w:t xml:space="preserve"> de las </w:t>
      </w:r>
      <w:proofErr w:type="spellStart"/>
      <w:r>
        <w:rPr>
          <w:rFonts w:ascii="Verdana" w:hAnsi="Verdana" w:cs="Verdana"/>
        </w:rPr>
        <w:t>actividades</w:t>
      </w:r>
      <w:proofErr w:type="spellEnd"/>
      <w:r>
        <w:rPr>
          <w:rFonts w:ascii="Verdana" w:hAnsi="Verdana" w:cs="Verdana"/>
        </w:rPr>
        <w:t xml:space="preserve"> de Selecta Global se </w:t>
      </w:r>
      <w:proofErr w:type="spellStart"/>
      <w:r>
        <w:rPr>
          <w:rFonts w:ascii="Verdana" w:hAnsi="Verdana" w:cs="Verdana"/>
        </w:rPr>
        <w:t>mantengan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archivo</w:t>
      </w:r>
      <w:proofErr w:type="spellEnd"/>
      <w:r>
        <w:rPr>
          <w:rFonts w:ascii="Verdana" w:hAnsi="Verdana" w:cs="Verdana"/>
        </w:rPr>
        <w:t xml:space="preserve"> del </w:t>
      </w:r>
      <w:proofErr w:type="spellStart"/>
      <w:r>
        <w:rPr>
          <w:rFonts w:ascii="Verdana" w:hAnsi="Verdana" w:cs="Verdana"/>
        </w:rPr>
        <w:t>proyecto</w:t>
      </w:r>
      <w:proofErr w:type="spellEnd"/>
      <w:r>
        <w:rPr>
          <w:rFonts w:ascii="Verdana" w:hAnsi="Verdana" w:cs="Verdana"/>
        </w:rPr>
        <w:t xml:space="preserve"> de </w:t>
      </w:r>
      <w:proofErr w:type="spellStart"/>
      <w:r>
        <w:rPr>
          <w:rFonts w:ascii="Verdana" w:hAnsi="Verdana" w:cs="Verdana"/>
        </w:rPr>
        <w:t>acuerdo</w:t>
      </w:r>
      <w:proofErr w:type="spellEnd"/>
      <w:r>
        <w:rPr>
          <w:rFonts w:ascii="Verdana" w:hAnsi="Verdana" w:cs="Verdana"/>
        </w:rPr>
        <w:t xml:space="preserve"> con </w:t>
      </w:r>
      <w:proofErr w:type="spellStart"/>
      <w:r>
        <w:rPr>
          <w:rFonts w:ascii="Verdana" w:hAnsi="Verdana" w:cs="Verdana"/>
        </w:rPr>
        <w:t>el</w:t>
      </w:r>
      <w:proofErr w:type="spellEnd"/>
      <w:r>
        <w:rPr>
          <w:rFonts w:ascii="Verdana" w:hAnsi="Verdana" w:cs="Verdana"/>
        </w:rPr>
        <w:t xml:space="preserve"> "</w:t>
      </w:r>
      <w:proofErr w:type="spellStart"/>
      <w:r>
        <w:rPr>
          <w:rFonts w:ascii="Verdana" w:hAnsi="Verdana" w:cs="Verdana"/>
        </w:rPr>
        <w:t>Procedimiento</w:t>
      </w:r>
      <w:proofErr w:type="spellEnd"/>
      <w:r>
        <w:rPr>
          <w:rFonts w:ascii="Verdana" w:hAnsi="Verdana" w:cs="Verdana"/>
        </w:rPr>
        <w:t xml:space="preserve"> de Control de </w:t>
      </w:r>
      <w:proofErr w:type="spellStart"/>
      <w:r>
        <w:rPr>
          <w:rFonts w:ascii="Verdana" w:hAnsi="Verdana" w:cs="Verdana"/>
        </w:rPr>
        <w:t>Registro</w:t>
      </w:r>
      <w:proofErr w:type="spellEnd"/>
      <w:r>
        <w:rPr>
          <w:rFonts w:ascii="Verdana" w:hAnsi="Verdana" w:cs="Verdana"/>
        </w:rPr>
        <w:t xml:space="preserve">" </w:t>
      </w:r>
      <w:proofErr w:type="spellStart"/>
      <w:r>
        <w:rPr>
          <w:rFonts w:ascii="Verdana" w:hAnsi="Verdana" w:cs="Verdana"/>
        </w:rPr>
        <w:t>por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parte</w:t>
      </w:r>
      <w:proofErr w:type="spellEnd"/>
      <w:r>
        <w:rPr>
          <w:rFonts w:ascii="Verdana" w:hAnsi="Verdana" w:cs="Verdana"/>
        </w:rPr>
        <w:t xml:space="preserve"> del personal </w:t>
      </w:r>
      <w:proofErr w:type="spellStart"/>
      <w:r>
        <w:rPr>
          <w:rFonts w:ascii="Verdana" w:hAnsi="Verdana" w:cs="Verdana"/>
        </w:rPr>
        <w:t>responsable</w:t>
      </w:r>
      <w:proofErr w:type="spellEnd"/>
      <w:r>
        <w:rPr>
          <w:rFonts w:ascii="Verdana" w:hAnsi="Verdana" w:cs="Verdana"/>
        </w:rPr>
        <w:t xml:space="preserve"> de la </w:t>
      </w:r>
      <w:proofErr w:type="spellStart"/>
      <w:r>
        <w:rPr>
          <w:rFonts w:ascii="Verdana" w:hAnsi="Verdana" w:cs="Verdana"/>
        </w:rPr>
        <w:t>ejecución</w:t>
      </w:r>
      <w:proofErr w:type="spellEnd"/>
      <w:r>
        <w:rPr>
          <w:rFonts w:ascii="Verdana" w:hAnsi="Verdana" w:cs="Verdana"/>
        </w:rPr>
        <w:t xml:space="preserve"> de la </w:t>
      </w:r>
      <w:proofErr w:type="spellStart"/>
      <w:r>
        <w:rPr>
          <w:rFonts w:ascii="Verdana" w:hAnsi="Verdana" w:cs="Verdana"/>
        </w:rPr>
        <w:t>obra</w:t>
      </w:r>
      <w:proofErr w:type="spellEnd"/>
      <w:r>
        <w:rPr>
          <w:rFonts w:ascii="Verdana" w:hAnsi="Verdana" w:cs="Verdana"/>
        </w:rPr>
        <w:t>.</w:t>
      </w:r>
    </w:p>
    <w:p w14:paraId="17829D80" w14:textId="77777777" w:rsidR="00432E43" w:rsidRDefault="00000000">
      <w:pPr>
        <w:pStyle w:val="GvdeMetni"/>
        <w:spacing w:before="120" w:after="120"/>
        <w:jc w:val="both"/>
      </w:pPr>
      <w:proofErr w:type="spellStart"/>
      <w:r>
        <w:rPr>
          <w:rFonts w:ascii="Verdana" w:hAnsi="Verdana" w:cs="Verdana"/>
          <w:sz w:val="20"/>
          <w:lang w:val="tr-TR"/>
        </w:rPr>
        <w:t>Todos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los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documentos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relacionados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la </w:t>
      </w:r>
      <w:proofErr w:type="spellStart"/>
      <w:r>
        <w:rPr>
          <w:rFonts w:ascii="Verdana" w:hAnsi="Verdana" w:cs="Verdana"/>
          <w:sz w:val="20"/>
          <w:lang w:val="tr-TR"/>
        </w:rPr>
        <w:t>finalización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objeciones</w:t>
      </w:r>
      <w:proofErr w:type="spellEnd"/>
      <w:r>
        <w:rPr>
          <w:rFonts w:ascii="Verdana" w:hAnsi="Verdana" w:cs="Verdana"/>
          <w:sz w:val="20"/>
          <w:lang w:val="tr-TR"/>
        </w:rPr>
        <w:t xml:space="preserve"> y </w:t>
      </w:r>
      <w:proofErr w:type="spellStart"/>
      <w:r>
        <w:rPr>
          <w:rFonts w:ascii="Verdana" w:hAnsi="Verdana" w:cs="Verdana"/>
          <w:sz w:val="20"/>
          <w:lang w:val="tr-TR"/>
        </w:rPr>
        <w:t>quejas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recibidas</w:t>
      </w:r>
      <w:proofErr w:type="spellEnd"/>
      <w:r>
        <w:rPr>
          <w:rFonts w:ascii="Verdana" w:hAnsi="Verdana" w:cs="Verdana"/>
          <w:sz w:val="20"/>
          <w:lang w:val="tr-TR"/>
        </w:rPr>
        <w:t xml:space="preserve"> en el </w:t>
      </w:r>
      <w:proofErr w:type="spellStart"/>
      <w:r>
        <w:rPr>
          <w:rFonts w:ascii="Verdana" w:hAnsi="Verdana" w:cs="Verdana"/>
          <w:sz w:val="20"/>
          <w:lang w:val="tr-TR"/>
        </w:rPr>
        <w:t>ámbito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las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actividades</w:t>
      </w:r>
      <w:proofErr w:type="spellEnd"/>
      <w:r>
        <w:rPr>
          <w:rFonts w:ascii="Verdana" w:hAnsi="Verdana" w:cs="Verdana"/>
          <w:sz w:val="20"/>
          <w:lang w:val="tr-TR"/>
        </w:rPr>
        <w:t xml:space="preserve"> de Selecta Global se </w:t>
      </w:r>
      <w:proofErr w:type="spellStart"/>
      <w:r>
        <w:rPr>
          <w:rFonts w:ascii="Verdana" w:hAnsi="Verdana" w:cs="Verdana"/>
          <w:sz w:val="20"/>
          <w:lang w:val="tr-TR"/>
        </w:rPr>
        <w:t>conservan</w:t>
      </w:r>
      <w:proofErr w:type="spellEnd"/>
      <w:r>
        <w:rPr>
          <w:rFonts w:ascii="Verdana" w:hAnsi="Verdana" w:cs="Verdana"/>
          <w:sz w:val="20"/>
          <w:lang w:val="tr-TR"/>
        </w:rPr>
        <w:t xml:space="preserve"> de </w:t>
      </w:r>
      <w:proofErr w:type="spellStart"/>
      <w:r>
        <w:rPr>
          <w:rFonts w:ascii="Verdana" w:hAnsi="Verdana" w:cs="Verdana"/>
          <w:sz w:val="20"/>
          <w:lang w:val="tr-TR"/>
        </w:rPr>
        <w:t>acuerdo</w:t>
      </w:r>
      <w:proofErr w:type="spellEnd"/>
      <w:r>
        <w:rPr>
          <w:rFonts w:ascii="Verdana" w:hAnsi="Verdana" w:cs="Verdana"/>
          <w:sz w:val="20"/>
          <w:lang w:val="tr-TR"/>
        </w:rPr>
        <w:t xml:space="preserve"> </w:t>
      </w:r>
      <w:proofErr w:type="spellStart"/>
      <w:r>
        <w:rPr>
          <w:rFonts w:ascii="Verdana" w:hAnsi="Verdana" w:cs="Verdana"/>
          <w:sz w:val="20"/>
          <w:lang w:val="tr-TR"/>
        </w:rPr>
        <w:t>con</w:t>
      </w:r>
      <w:proofErr w:type="spellEnd"/>
      <w:r>
        <w:rPr>
          <w:rFonts w:ascii="Verdana" w:hAnsi="Verdana" w:cs="Verdana"/>
          <w:sz w:val="20"/>
          <w:lang w:val="tr-TR"/>
        </w:rPr>
        <w:t xml:space="preserve"> el </w:t>
      </w:r>
      <w:proofErr w:type="spellStart"/>
      <w:r>
        <w:rPr>
          <w:rFonts w:ascii="Verdana" w:hAnsi="Verdana" w:cs="Verdana"/>
          <w:sz w:val="20"/>
          <w:lang w:val="tr-TR"/>
        </w:rPr>
        <w:t>Procedimiento</w:t>
      </w:r>
      <w:proofErr w:type="spellEnd"/>
      <w:r>
        <w:rPr>
          <w:rFonts w:ascii="Verdana" w:hAnsi="Verdana" w:cs="Verdana"/>
          <w:sz w:val="20"/>
          <w:lang w:val="tr-TR"/>
        </w:rPr>
        <w:t xml:space="preserve"> de Control de </w:t>
      </w:r>
      <w:proofErr w:type="spellStart"/>
      <w:r>
        <w:rPr>
          <w:rFonts w:ascii="Verdana" w:hAnsi="Verdana" w:cs="Verdana"/>
          <w:sz w:val="20"/>
          <w:lang w:val="tr-TR"/>
        </w:rPr>
        <w:t>Registros</w:t>
      </w:r>
      <w:proofErr w:type="spellEnd"/>
      <w:r>
        <w:rPr>
          <w:rFonts w:ascii="Verdana" w:hAnsi="Verdana" w:cs="Verdana"/>
          <w:sz w:val="20"/>
          <w:lang w:val="tr-TR"/>
        </w:rPr>
        <w:t>.</w:t>
      </w:r>
    </w:p>
    <w:p w14:paraId="08E0F193" w14:textId="77777777" w:rsidR="00432E43" w:rsidRDefault="00000000">
      <w:pPr>
        <w:pStyle w:val="GvdeMetniGirintisi2"/>
        <w:tabs>
          <w:tab w:val="left" w:pos="851"/>
        </w:tabs>
        <w:ind w:left="0" w:right="140"/>
        <w:jc w:val="both"/>
        <w:rPr>
          <w:rFonts w:ascii="Verdana" w:hAnsi="Verdana" w:cs="Verdana"/>
          <w:bCs/>
          <w:i w:val="0"/>
          <w:iCs/>
        </w:rPr>
      </w:pPr>
      <w:r>
        <w:rPr>
          <w:rFonts w:ascii="Verdana" w:hAnsi="Verdana" w:cs="Verdana"/>
          <w:bCs/>
          <w:i w:val="0"/>
          <w:iCs/>
        </w:rPr>
        <w:t xml:space="preserve">La </w:t>
      </w:r>
      <w:proofErr w:type="spellStart"/>
      <w:r>
        <w:rPr>
          <w:rFonts w:ascii="Verdana" w:hAnsi="Verdana" w:cs="Verdana"/>
          <w:bCs/>
          <w:i w:val="0"/>
          <w:iCs/>
        </w:rPr>
        <w:t>correspondencia</w:t>
      </w:r>
      <w:proofErr w:type="spellEnd"/>
      <w:r>
        <w:rPr>
          <w:rFonts w:ascii="Verdana" w:hAnsi="Verdana" w:cs="Verdana"/>
          <w:bCs/>
          <w:i w:val="0"/>
          <w:iCs/>
        </w:rPr>
        <w:t xml:space="preserve"> y </w:t>
      </w:r>
      <w:proofErr w:type="spellStart"/>
      <w:r>
        <w:rPr>
          <w:rFonts w:ascii="Verdana" w:hAnsi="Verdana" w:cs="Verdana"/>
          <w:bCs/>
          <w:i w:val="0"/>
          <w:iCs/>
        </w:rPr>
        <w:t>los</w:t>
      </w:r>
      <w:proofErr w:type="spellEnd"/>
      <w:r>
        <w:rPr>
          <w:rFonts w:ascii="Verdana" w:hAnsi="Verdana" w:cs="Verdana"/>
          <w:bCs/>
          <w:i w:val="0"/>
          <w:iCs/>
        </w:rPr>
        <w:t xml:space="preserve"> </w:t>
      </w:r>
      <w:proofErr w:type="spellStart"/>
      <w:r>
        <w:rPr>
          <w:rFonts w:ascii="Verdana" w:hAnsi="Verdana" w:cs="Verdana"/>
          <w:bCs/>
          <w:i w:val="0"/>
          <w:iCs/>
        </w:rPr>
        <w:t>formularios</w:t>
      </w:r>
      <w:proofErr w:type="spellEnd"/>
      <w:r>
        <w:rPr>
          <w:rFonts w:ascii="Verdana" w:hAnsi="Verdana" w:cs="Verdana"/>
          <w:bCs/>
          <w:i w:val="0"/>
          <w:iCs/>
        </w:rPr>
        <w:t xml:space="preserve"> de </w:t>
      </w:r>
      <w:proofErr w:type="spellStart"/>
      <w:r>
        <w:rPr>
          <w:rFonts w:ascii="Verdana" w:hAnsi="Verdana" w:cs="Verdana"/>
          <w:bCs/>
          <w:i w:val="0"/>
          <w:iCs/>
        </w:rPr>
        <w:t>quejas</w:t>
      </w:r>
      <w:proofErr w:type="spellEnd"/>
      <w:r>
        <w:rPr>
          <w:rFonts w:ascii="Verdana" w:hAnsi="Verdana" w:cs="Verdana"/>
          <w:bCs/>
          <w:i w:val="0"/>
          <w:iCs/>
        </w:rPr>
        <w:t>/</w:t>
      </w:r>
      <w:proofErr w:type="spellStart"/>
      <w:r>
        <w:rPr>
          <w:rFonts w:ascii="Verdana" w:hAnsi="Verdana" w:cs="Verdana"/>
          <w:bCs/>
          <w:i w:val="0"/>
          <w:iCs/>
        </w:rPr>
        <w:t>objeciones</w:t>
      </w:r>
      <w:proofErr w:type="spellEnd"/>
      <w:r>
        <w:rPr>
          <w:rFonts w:ascii="Verdana" w:hAnsi="Verdana" w:cs="Verdana"/>
          <w:bCs/>
          <w:i w:val="0"/>
          <w:iCs/>
        </w:rPr>
        <w:t xml:space="preserve"> de </w:t>
      </w:r>
      <w:proofErr w:type="spellStart"/>
      <w:r>
        <w:rPr>
          <w:rFonts w:ascii="Verdana" w:hAnsi="Verdana" w:cs="Verdana"/>
          <w:bCs/>
          <w:i w:val="0"/>
          <w:iCs/>
        </w:rPr>
        <w:t>los</w:t>
      </w:r>
      <w:proofErr w:type="spellEnd"/>
      <w:r>
        <w:rPr>
          <w:rFonts w:ascii="Verdana" w:hAnsi="Verdana" w:cs="Verdana"/>
          <w:bCs/>
          <w:i w:val="0"/>
          <w:iCs/>
        </w:rPr>
        <w:t xml:space="preserve"> </w:t>
      </w:r>
      <w:proofErr w:type="spellStart"/>
      <w:r>
        <w:rPr>
          <w:rFonts w:ascii="Verdana" w:hAnsi="Verdana" w:cs="Verdana"/>
          <w:bCs/>
          <w:i w:val="0"/>
          <w:iCs/>
        </w:rPr>
        <w:t>clientes</w:t>
      </w:r>
      <w:proofErr w:type="spellEnd"/>
      <w:r>
        <w:rPr>
          <w:rFonts w:ascii="Verdana" w:hAnsi="Verdana" w:cs="Verdana"/>
          <w:bCs/>
          <w:i w:val="0"/>
          <w:iCs/>
        </w:rPr>
        <w:t xml:space="preserve"> son </w:t>
      </w:r>
      <w:proofErr w:type="spellStart"/>
      <w:r>
        <w:rPr>
          <w:rFonts w:ascii="Verdana" w:hAnsi="Verdana" w:cs="Verdana"/>
          <w:bCs/>
          <w:i w:val="0"/>
          <w:iCs/>
        </w:rPr>
        <w:t>guardados</w:t>
      </w:r>
      <w:proofErr w:type="spellEnd"/>
      <w:r>
        <w:rPr>
          <w:rFonts w:ascii="Verdana" w:hAnsi="Verdana" w:cs="Verdana"/>
          <w:bCs/>
          <w:i w:val="0"/>
          <w:iCs/>
        </w:rPr>
        <w:t xml:space="preserve"> por el </w:t>
      </w:r>
      <w:proofErr w:type="spellStart"/>
      <w:r>
        <w:rPr>
          <w:rFonts w:ascii="Verdana" w:hAnsi="Verdana" w:cs="Verdana"/>
          <w:bCs/>
          <w:i w:val="0"/>
          <w:iCs/>
        </w:rPr>
        <w:t>Representante</w:t>
      </w:r>
      <w:proofErr w:type="spellEnd"/>
      <w:r>
        <w:rPr>
          <w:rFonts w:ascii="Verdana" w:hAnsi="Verdana" w:cs="Verdana"/>
          <w:bCs/>
          <w:i w:val="0"/>
          <w:iCs/>
        </w:rPr>
        <w:t xml:space="preserve"> de la </w:t>
      </w:r>
      <w:proofErr w:type="spellStart"/>
      <w:r>
        <w:rPr>
          <w:rFonts w:ascii="Verdana" w:hAnsi="Verdana" w:cs="Verdana"/>
          <w:bCs/>
          <w:i w:val="0"/>
          <w:iCs/>
        </w:rPr>
        <w:t>Gerencia</w:t>
      </w:r>
      <w:proofErr w:type="spellEnd"/>
      <w:r>
        <w:rPr>
          <w:rFonts w:ascii="Verdana" w:hAnsi="Verdana" w:cs="Verdana"/>
          <w:bCs/>
          <w:i w:val="0"/>
          <w:iCs/>
        </w:rPr>
        <w:t>.</w:t>
      </w:r>
    </w:p>
    <w:p w14:paraId="38A03F1D" w14:textId="77777777" w:rsidR="00432E43" w:rsidRDefault="00432E43">
      <w:pPr>
        <w:pStyle w:val="GvdeMetniGirintisi2"/>
        <w:tabs>
          <w:tab w:val="left" w:pos="851"/>
        </w:tabs>
        <w:ind w:left="0" w:right="140"/>
        <w:jc w:val="both"/>
        <w:rPr>
          <w:rFonts w:ascii="Verdana" w:hAnsi="Verdana" w:cs="Verdana"/>
          <w:bCs/>
          <w:i w:val="0"/>
          <w:iCs/>
        </w:rPr>
      </w:pPr>
    </w:p>
    <w:p w14:paraId="76A2038A" w14:textId="77777777" w:rsidR="00432E43" w:rsidRDefault="00000000">
      <w:pPr>
        <w:pStyle w:val="GvdeMetniGirintisi2"/>
        <w:tabs>
          <w:tab w:val="left" w:pos="851"/>
        </w:tabs>
        <w:ind w:left="0" w:right="140"/>
        <w:jc w:val="both"/>
      </w:pPr>
      <w:proofErr w:type="spellStart"/>
      <w:r>
        <w:rPr>
          <w:rFonts w:ascii="Verdana" w:hAnsi="Verdana" w:cs="Verdana"/>
          <w:b/>
          <w:bCs/>
          <w:i w:val="0"/>
          <w:iCs/>
        </w:rPr>
        <w:t>Seguimiento</w:t>
      </w:r>
      <w:proofErr w:type="spellEnd"/>
      <w:r>
        <w:rPr>
          <w:rFonts w:ascii="Verdana" w:hAnsi="Verdana" w:cs="Verdana"/>
          <w:b/>
          <w:bCs/>
          <w:i w:val="0"/>
          <w:iCs/>
        </w:rPr>
        <w:t xml:space="preserve"> de </w:t>
      </w:r>
      <w:proofErr w:type="spellStart"/>
      <w:r>
        <w:rPr>
          <w:rFonts w:ascii="Verdana" w:hAnsi="Verdana" w:cs="Verdana"/>
          <w:b/>
          <w:bCs/>
          <w:i w:val="0"/>
          <w:iCs/>
        </w:rPr>
        <w:t>revisión</w:t>
      </w:r>
      <w:proofErr w:type="spellEnd"/>
      <w:r>
        <w:rPr>
          <w:rFonts w:ascii="Verdana" w:hAnsi="Verdana" w:cs="Verdana"/>
          <w:b/>
          <w:bCs/>
          <w:i w:val="0"/>
          <w:iCs/>
        </w:rPr>
        <w:t>:</w:t>
      </w:r>
      <w:r>
        <w:t xml:space="preserve"> 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419"/>
        <w:gridCol w:w="1985"/>
        <w:gridCol w:w="4397"/>
      </w:tblGrid>
      <w:tr w:rsidR="00432E43" w14:paraId="514FCAE3" w14:textId="7777777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B454" w14:textId="77777777" w:rsidR="00432E43" w:rsidRDefault="00000000">
            <w:pPr>
              <w:pStyle w:val="GvdeMetni"/>
              <w:spacing w:before="80" w:after="80" w:line="240" w:lineRule="exact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Número</w:t>
            </w:r>
            <w:proofErr w:type="spellEnd"/>
            <w:r>
              <w:rPr>
                <w:rFonts w:ascii="Verdana" w:hAnsi="Verdana" w:cs="Verdana"/>
                <w:b/>
                <w:sz w:val="20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revisión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C345" w14:textId="77777777" w:rsidR="00432E43" w:rsidRDefault="00000000">
            <w:pPr>
              <w:pStyle w:val="GvdeMetni"/>
              <w:spacing w:before="80" w:after="80" w:line="240" w:lineRule="exact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Historia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1637" w14:textId="77777777" w:rsidR="00432E43" w:rsidRDefault="00000000">
            <w:pPr>
              <w:pStyle w:val="GvdeMetni"/>
              <w:spacing w:before="80" w:after="80" w:line="240" w:lineRule="exact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Artículo</w:t>
            </w:r>
            <w:proofErr w:type="spellEnd"/>
            <w:r>
              <w:rPr>
                <w:rFonts w:ascii="Verdana" w:hAnsi="Verdana" w:cs="Verdana"/>
                <w:b/>
                <w:sz w:val="20"/>
                <w:lang w:val="tr-TR"/>
              </w:rPr>
              <w:t xml:space="preserve"> o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página</w:t>
            </w:r>
            <w:proofErr w:type="spellEnd"/>
            <w:r>
              <w:rPr>
                <w:rFonts w:ascii="Verdana" w:hAnsi="Verdana" w:cs="Verdana"/>
                <w:b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revisada</w:t>
            </w:r>
            <w:proofErr w:type="spell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2866" w14:textId="77777777" w:rsidR="00432E43" w:rsidRDefault="00000000">
            <w:pPr>
              <w:pStyle w:val="GvdeMetni"/>
              <w:spacing w:before="80" w:after="80" w:line="240" w:lineRule="exact"/>
              <w:jc w:val="center"/>
              <w:rPr>
                <w:rFonts w:ascii="Verdana" w:hAnsi="Verdana" w:cs="Verdana"/>
                <w:b/>
                <w:sz w:val="20"/>
                <w:lang w:val="tr-TR"/>
              </w:rPr>
            </w:pPr>
            <w:proofErr w:type="spellStart"/>
            <w:r>
              <w:rPr>
                <w:rFonts w:ascii="Verdana" w:hAnsi="Verdana" w:cs="Verdana"/>
                <w:b/>
                <w:sz w:val="20"/>
                <w:lang w:val="tr-TR"/>
              </w:rPr>
              <w:t>Explicación</w:t>
            </w:r>
            <w:proofErr w:type="spellEnd"/>
          </w:p>
        </w:tc>
      </w:tr>
      <w:tr w:rsidR="00432E43" w14:paraId="34D4F00F" w14:textId="7777777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4DA3" w14:textId="77777777" w:rsidR="00432E43" w:rsidRDefault="00000000">
            <w:pPr>
              <w:pStyle w:val="GvdeMetni"/>
              <w:spacing w:before="60" w:after="60" w:line="240" w:lineRule="exact"/>
              <w:jc w:val="center"/>
              <w:rPr>
                <w:rFonts w:ascii="Verdana" w:hAnsi="Verdana" w:cs="Verdana"/>
                <w:sz w:val="20"/>
                <w:lang w:val="tr-TR" w:eastAsia="tr-TR"/>
              </w:rPr>
            </w:pPr>
            <w:r>
              <w:rPr>
                <w:rFonts w:ascii="Verdana" w:hAnsi="Verdana" w:cs="Verdana"/>
                <w:sz w:val="20"/>
                <w:lang w:val="tr-TR" w:eastAsia="tr-TR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6AFC" w14:textId="77777777" w:rsidR="00432E43" w:rsidRDefault="00000000">
            <w:pPr>
              <w:pStyle w:val="GvdeMetni"/>
              <w:spacing w:before="60" w:after="60" w:line="240" w:lineRule="exact"/>
              <w:jc w:val="both"/>
              <w:rPr>
                <w:rFonts w:ascii="Verdana" w:hAnsi="Verdana" w:cs="Verdana"/>
                <w:sz w:val="20"/>
                <w:lang w:val="tr-TR" w:eastAsia="tr-TR"/>
              </w:rPr>
            </w:pPr>
            <w:r>
              <w:rPr>
                <w:rFonts w:ascii="Verdana" w:hAnsi="Verdana" w:cs="Verdana"/>
                <w:sz w:val="20"/>
                <w:lang w:val="tr-TR" w:eastAsia="tr-TR"/>
              </w:rPr>
              <w:t>03.03.2022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40A8" w14:textId="77777777" w:rsidR="00432E43" w:rsidRDefault="00000000">
            <w:pPr>
              <w:pStyle w:val="GvdeMetni"/>
              <w:spacing w:before="60" w:after="60" w:line="240" w:lineRule="exact"/>
              <w:jc w:val="center"/>
              <w:rPr>
                <w:rFonts w:ascii="Verdana" w:hAnsi="Verdana" w:cs="Verdana"/>
                <w:sz w:val="20"/>
                <w:lang w:val="tr-TR" w:eastAsia="tr-TR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20"/>
                <w:lang w:val="tr-TR" w:eastAsia="tr-TR"/>
              </w:rPr>
              <w:t>todo</w:t>
            </w:r>
            <w:proofErr w:type="spellEnd"/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3137" w14:textId="77777777" w:rsidR="00432E43" w:rsidRDefault="00000000">
            <w:pPr>
              <w:pStyle w:val="GvdeMetni"/>
              <w:spacing w:before="60" w:after="60" w:line="240" w:lineRule="exact"/>
              <w:jc w:val="both"/>
              <w:rPr>
                <w:rFonts w:ascii="Verdana" w:hAnsi="Verdana" w:cs="Verdana"/>
                <w:sz w:val="20"/>
                <w:lang w:val="tr-TR" w:eastAsia="tr-TR"/>
              </w:rPr>
            </w:pPr>
            <w:r>
              <w:rPr>
                <w:rFonts w:ascii="Verdana" w:hAnsi="Verdana" w:cs="Verdana"/>
                <w:sz w:val="20"/>
                <w:lang w:val="tr-TR" w:eastAsia="tr-TR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sz w:val="20"/>
                <w:lang w:val="tr-TR" w:eastAsia="tr-TR"/>
              </w:rPr>
              <w:t>publicación</w:t>
            </w:r>
            <w:proofErr w:type="spellEnd"/>
            <w:r>
              <w:rPr>
                <w:rFonts w:ascii="Verdana" w:hAnsi="Verdana" w:cs="Verdana"/>
                <w:sz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lang w:val="tr-TR" w:eastAsia="tr-TR"/>
              </w:rPr>
              <w:t>reciente</w:t>
            </w:r>
            <w:proofErr w:type="spellEnd"/>
            <w:r>
              <w:rPr>
                <w:rFonts w:ascii="Verdana" w:hAnsi="Verdana" w:cs="Verdana"/>
                <w:sz w:val="20"/>
                <w:lang w:val="tr-TR" w:eastAsia="tr-TR"/>
              </w:rPr>
              <w:t>.</w:t>
            </w:r>
          </w:p>
        </w:tc>
      </w:tr>
    </w:tbl>
    <w:p w14:paraId="680A4A8F" w14:textId="77777777" w:rsidR="00432E43" w:rsidRDefault="00432E43">
      <w:pPr>
        <w:pStyle w:val="GvdeMetniGirintisi2"/>
        <w:tabs>
          <w:tab w:val="left" w:pos="851"/>
        </w:tabs>
        <w:ind w:left="0" w:right="140"/>
        <w:jc w:val="both"/>
        <w:rPr>
          <w:rFonts w:ascii="Verdana" w:hAnsi="Verdana" w:cs="Verdana"/>
          <w:i w:val="0"/>
          <w:iCs/>
        </w:rPr>
      </w:pPr>
    </w:p>
    <w:p w14:paraId="6DDB4B5B" w14:textId="77777777" w:rsidR="00432E43" w:rsidRDefault="00432E43">
      <w:pPr>
        <w:pStyle w:val="GvdeMetniGirintisi2"/>
        <w:tabs>
          <w:tab w:val="left" w:pos="851"/>
        </w:tabs>
        <w:ind w:left="0" w:right="140"/>
        <w:jc w:val="both"/>
        <w:rPr>
          <w:rFonts w:ascii="Verdana" w:hAnsi="Verdana" w:cs="Verdana"/>
          <w:i w:val="0"/>
          <w:iCs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3260"/>
      </w:tblGrid>
      <w:tr w:rsidR="00432E43" w14:paraId="02576BDB" w14:textId="77777777">
        <w:trPr>
          <w:trHeight w:val="37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C21F" w14:textId="77777777" w:rsidR="00432E43" w:rsidRDefault="00000000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  <w:bookmarkStart w:id="21" w:name="_top"/>
            <w:bookmarkEnd w:id="21"/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Preparador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CDA4" w14:textId="77777777" w:rsidR="00432E43" w:rsidRDefault="00000000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Aprobación</w:t>
            </w:r>
            <w:proofErr w:type="spellEnd"/>
            <w:r>
              <w:rPr>
                <w:rFonts w:ascii="Verdana" w:hAnsi="Verdana" w:cs="Verdana"/>
                <w:sz w:val="18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revisión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F720" w14:textId="77777777" w:rsidR="00432E43" w:rsidRDefault="00000000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Aprobación</w:t>
            </w:r>
            <w:proofErr w:type="spellEnd"/>
            <w:r>
              <w:rPr>
                <w:rFonts w:ascii="Verdana" w:hAnsi="Verdana" w:cs="Verdana"/>
                <w:sz w:val="18"/>
                <w:lang w:val="tr-TR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Validación</w:t>
            </w:r>
            <w:proofErr w:type="spellEnd"/>
          </w:p>
        </w:tc>
      </w:tr>
      <w:tr w:rsidR="00432E43" w14:paraId="4DABD37C" w14:textId="77777777">
        <w:trPr>
          <w:trHeight w:val="8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33E" w14:textId="37FF8577" w:rsidR="00432E43" w:rsidRDefault="00904E33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R</w:t>
            </w:r>
            <w:r w:rsidR="00000000">
              <w:rPr>
                <w:rFonts w:ascii="Verdana" w:hAnsi="Verdana" w:cs="Verdana"/>
                <w:sz w:val="18"/>
                <w:lang w:val="tr-TR"/>
              </w:rPr>
              <w:t>epresentante</w:t>
            </w:r>
            <w:proofErr w:type="spellEnd"/>
            <w:r w:rsidR="00000000">
              <w:rPr>
                <w:rFonts w:ascii="Verdana" w:hAnsi="Verdana" w:cs="Verdana"/>
                <w:sz w:val="18"/>
                <w:lang w:val="tr-TR"/>
              </w:rPr>
              <w:t xml:space="preserve"> de la </w:t>
            </w: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D</w:t>
            </w:r>
            <w:r w:rsidR="00000000">
              <w:rPr>
                <w:rFonts w:ascii="Verdana" w:hAnsi="Verdana" w:cs="Verdana"/>
                <w:sz w:val="18"/>
                <w:lang w:val="tr-TR"/>
              </w:rPr>
              <w:t>irección</w:t>
            </w:r>
            <w:proofErr w:type="spellEnd"/>
          </w:p>
          <w:p w14:paraId="743F04B0" w14:textId="77777777" w:rsidR="00432E43" w:rsidRDefault="00432E43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</w:p>
          <w:p w14:paraId="30A3CBC0" w14:textId="77777777" w:rsidR="00432E43" w:rsidRDefault="00432E43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4950" w14:textId="77777777" w:rsidR="00432E43" w:rsidRDefault="00000000">
            <w:pPr>
              <w:pStyle w:val="AltBilgi"/>
              <w:jc w:val="center"/>
              <w:rPr>
                <w:rFonts w:ascii="Verdana" w:hAnsi="Verdana" w:cs="Verdana"/>
                <w:sz w:val="18"/>
                <w:lang w:val="de-DE"/>
              </w:rPr>
            </w:pPr>
            <w:proofErr w:type="spellStart"/>
            <w:r>
              <w:rPr>
                <w:rFonts w:ascii="Verdana" w:hAnsi="Verdana" w:cs="Verdana"/>
                <w:sz w:val="18"/>
                <w:lang w:val="de-DE"/>
              </w:rPr>
              <w:t>Gerente</w:t>
            </w:r>
            <w:proofErr w:type="spellEnd"/>
            <w:r>
              <w:rPr>
                <w:rFonts w:ascii="Verdana" w:hAnsi="Verdana" w:cs="Verdana"/>
                <w:sz w:val="18"/>
                <w:lang w:val="de-DE"/>
              </w:rPr>
              <w:t xml:space="preserve"> de </w:t>
            </w:r>
            <w:proofErr w:type="spellStart"/>
            <w:r>
              <w:rPr>
                <w:rFonts w:ascii="Verdana" w:hAnsi="Verdana" w:cs="Verdana"/>
                <w:sz w:val="18"/>
                <w:lang w:val="de-DE"/>
              </w:rPr>
              <w:t>departamento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3D42" w14:textId="3D8FE5DF" w:rsidR="00432E43" w:rsidRDefault="00904E33">
            <w:pPr>
              <w:pStyle w:val="AltBilgi"/>
              <w:jc w:val="center"/>
              <w:rPr>
                <w:rFonts w:ascii="Verdana" w:hAnsi="Verdana" w:cs="Verdana"/>
                <w:sz w:val="18"/>
                <w:lang w:val="tr-TR"/>
              </w:rPr>
            </w:pPr>
            <w:proofErr w:type="spellStart"/>
            <w:r>
              <w:rPr>
                <w:rFonts w:ascii="Verdana" w:hAnsi="Verdana" w:cs="Verdana"/>
                <w:sz w:val="18"/>
                <w:lang w:val="tr-TR"/>
              </w:rPr>
              <w:t>G</w:t>
            </w:r>
            <w:r w:rsidR="00000000">
              <w:rPr>
                <w:rFonts w:ascii="Verdana" w:hAnsi="Verdana" w:cs="Verdana"/>
                <w:sz w:val="18"/>
                <w:lang w:val="tr-TR"/>
              </w:rPr>
              <w:t>erente</w:t>
            </w:r>
            <w:proofErr w:type="spellEnd"/>
            <w:r w:rsidR="00000000">
              <w:rPr>
                <w:rFonts w:ascii="Verdana" w:hAnsi="Verdana" w:cs="Verdana"/>
                <w:sz w:val="18"/>
                <w:lang w:val="tr-TR"/>
              </w:rPr>
              <w:t xml:space="preserve"> </w:t>
            </w:r>
            <w:r>
              <w:rPr>
                <w:rFonts w:ascii="Verdana" w:hAnsi="Verdana" w:cs="Verdana"/>
                <w:sz w:val="18"/>
                <w:lang w:val="tr-TR"/>
              </w:rPr>
              <w:t>G</w:t>
            </w:r>
            <w:r w:rsidR="00000000">
              <w:rPr>
                <w:rFonts w:ascii="Verdana" w:hAnsi="Verdana" w:cs="Verdana"/>
                <w:sz w:val="18"/>
                <w:lang w:val="tr-TR"/>
              </w:rPr>
              <w:t>eneral</w:t>
            </w:r>
          </w:p>
        </w:tc>
      </w:tr>
    </w:tbl>
    <w:p w14:paraId="53DD12F6" w14:textId="77777777" w:rsidR="00432E43" w:rsidRDefault="00432E43">
      <w:pPr>
        <w:pStyle w:val="GvdeMetniGirintisi2"/>
        <w:tabs>
          <w:tab w:val="left" w:pos="851"/>
        </w:tabs>
        <w:ind w:left="0" w:right="140"/>
        <w:jc w:val="both"/>
        <w:rPr>
          <w:rFonts w:ascii="Verdana" w:hAnsi="Verdana" w:cs="Verdana"/>
          <w:i w:val="0"/>
          <w:iCs/>
        </w:rPr>
      </w:pPr>
    </w:p>
    <w:sectPr w:rsidR="00432E43">
      <w:headerReference w:type="default" r:id="rId7"/>
      <w:pgSz w:w="11906" w:h="16838"/>
      <w:pgMar w:top="1843" w:right="992" w:bottom="1701" w:left="1418" w:header="56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CCC2" w14:textId="77777777" w:rsidR="00B9700D" w:rsidRDefault="00B9700D">
      <w:r>
        <w:separator/>
      </w:r>
    </w:p>
  </w:endnote>
  <w:endnote w:type="continuationSeparator" w:id="0">
    <w:p w14:paraId="340496A2" w14:textId="77777777" w:rsidR="00B9700D" w:rsidRDefault="00B9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E5A4" w14:textId="77777777" w:rsidR="00B9700D" w:rsidRDefault="00B9700D">
      <w:r>
        <w:separator/>
      </w:r>
    </w:p>
  </w:footnote>
  <w:footnote w:type="continuationSeparator" w:id="0">
    <w:p w14:paraId="28C7D181" w14:textId="77777777" w:rsidR="00B9700D" w:rsidRDefault="00B9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Ind w:w="-113" w:type="dxa"/>
      <w:tblLayout w:type="fixed"/>
      <w:tblLook w:val="04A0" w:firstRow="1" w:lastRow="0" w:firstColumn="1" w:lastColumn="0" w:noHBand="0" w:noVBand="1"/>
    </w:tblPr>
    <w:tblGrid>
      <w:gridCol w:w="2236"/>
      <w:gridCol w:w="4537"/>
      <w:gridCol w:w="2977"/>
    </w:tblGrid>
    <w:tr w:rsidR="00432E43" w14:paraId="59FE5CB0" w14:textId="77777777">
      <w:trPr>
        <w:trHeight w:val="460"/>
      </w:trPr>
      <w:tc>
        <w:tcPr>
          <w:tcW w:w="2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410EF6" w14:textId="77777777" w:rsidR="00432E43" w:rsidRDefault="00000000">
          <w:pPr>
            <w:pStyle w:val="stBilgi"/>
            <w:jc w:val="center"/>
            <w:rPr>
              <w:lang w:val="tr-TR" w:eastAsia="en-US"/>
            </w:rPr>
          </w:pPr>
          <w:r>
            <w:rPr>
              <w:noProof/>
              <w:lang w:val="tr-TR" w:eastAsia="en-US"/>
            </w:rPr>
            <w:drawing>
              <wp:inline distT="0" distB="0" distL="0" distR="0" wp14:anchorId="1D534E81" wp14:editId="1FF77EB6">
                <wp:extent cx="1282065" cy="19304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27" r="-4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19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E7E87B" w14:textId="77777777" w:rsidR="00432E43" w:rsidRDefault="00000000">
          <w:pPr>
            <w:pStyle w:val="stBilgi"/>
            <w:jc w:val="center"/>
            <w:rPr>
              <w:lang w:val="de-DE"/>
            </w:rPr>
          </w:pPr>
          <w:proofErr w:type="spellStart"/>
          <w:r>
            <w:rPr>
              <w:rFonts w:ascii="Verdana" w:hAnsi="Verdana" w:cs="Verdana"/>
              <w:b/>
              <w:sz w:val="28"/>
            </w:rPr>
            <w:t>Procedimiento</w:t>
          </w:r>
          <w:proofErr w:type="spellEnd"/>
          <w:r>
            <w:rPr>
              <w:rFonts w:ascii="Verdana" w:hAnsi="Verdana" w:cs="Verdana"/>
              <w:b/>
              <w:sz w:val="28"/>
            </w:rPr>
            <w:t xml:space="preserve"> de </w:t>
          </w:r>
          <w:proofErr w:type="spellStart"/>
          <w:r>
            <w:rPr>
              <w:rFonts w:ascii="Verdana" w:hAnsi="Verdana" w:cs="Verdana"/>
              <w:b/>
              <w:sz w:val="28"/>
            </w:rPr>
            <w:t>comentarios</w:t>
          </w:r>
          <w:proofErr w:type="spellEnd"/>
          <w:r>
            <w:rPr>
              <w:rFonts w:ascii="Verdana" w:hAnsi="Verdana" w:cs="Verdana"/>
              <w:b/>
              <w:sz w:val="28"/>
            </w:rPr>
            <w:t xml:space="preserve"> del </w:t>
          </w:r>
          <w:proofErr w:type="spellStart"/>
          <w:r>
            <w:rPr>
              <w:rFonts w:ascii="Verdana" w:hAnsi="Verdana" w:cs="Verdana"/>
              <w:b/>
              <w:sz w:val="28"/>
            </w:rPr>
            <w:t>cliente</w:t>
          </w:r>
          <w:proofErr w:type="spellEnd"/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CE8CDA" w14:textId="77777777" w:rsidR="00432E43" w:rsidRDefault="00000000">
          <w:pPr>
            <w:pStyle w:val="stBilgi"/>
            <w:tabs>
              <w:tab w:val="left" w:pos="1309"/>
              <w:tab w:val="left" w:pos="7938"/>
              <w:tab w:val="left" w:pos="8931"/>
              <w:tab w:val="right" w:pos="9639"/>
            </w:tabs>
            <w:rPr>
              <w:rFonts w:ascii="Verdana" w:hAnsi="Verdana" w:cs="Verdana"/>
              <w:sz w:val="18"/>
            </w:rPr>
          </w:pPr>
          <w:proofErr w:type="spellStart"/>
          <w:proofErr w:type="gramStart"/>
          <w:r>
            <w:rPr>
              <w:rFonts w:ascii="Verdana" w:hAnsi="Verdana" w:cs="Verdana"/>
              <w:sz w:val="18"/>
            </w:rPr>
            <w:t>Documento</w:t>
          </w:r>
          <w:proofErr w:type="spellEnd"/>
          <w:r>
            <w:rPr>
              <w:rFonts w:ascii="Verdana" w:hAnsi="Verdana" w:cs="Verdana"/>
              <w:sz w:val="18"/>
            </w:rPr>
            <w:t xml:space="preserve"> :</w:t>
          </w:r>
          <w:proofErr w:type="gramEnd"/>
          <w:r>
            <w:rPr>
              <w:rFonts w:ascii="Verdana" w:hAnsi="Verdana" w:cs="Verdana"/>
              <w:sz w:val="18"/>
            </w:rPr>
            <w:t xml:space="preserve"> S-1.03</w:t>
          </w:r>
        </w:p>
      </w:tc>
    </w:tr>
    <w:tr w:rsidR="00432E43" w14:paraId="6F3B5AA4" w14:textId="77777777">
      <w:trPr>
        <w:trHeight w:val="461"/>
      </w:trPr>
      <w:tc>
        <w:tcPr>
          <w:tcW w:w="2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36AF72" w14:textId="77777777" w:rsidR="00432E43" w:rsidRDefault="00432E43">
          <w:pPr>
            <w:pStyle w:val="stBilgi"/>
            <w:snapToGrid w:val="0"/>
            <w:jc w:val="center"/>
            <w:rPr>
              <w:lang w:val="tr-TR" w:eastAsia="en-US"/>
            </w:rPr>
          </w:pPr>
        </w:p>
      </w:tc>
      <w:tc>
        <w:tcPr>
          <w:tcW w:w="45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F56448" w14:textId="77777777" w:rsidR="00432E43" w:rsidRDefault="00432E43">
          <w:pPr>
            <w:pStyle w:val="stBilgi"/>
            <w:snapToGrid w:val="0"/>
            <w:jc w:val="center"/>
            <w:rPr>
              <w:rFonts w:ascii="Verdana" w:hAnsi="Verdana" w:cs="Verdana"/>
              <w:b/>
              <w:sz w:val="28"/>
              <w:lang w:val="tr-TR" w:eastAsia="en-US"/>
            </w:rPr>
          </w:pP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14FD03" w14:textId="77777777" w:rsidR="00432E43" w:rsidRDefault="00000000">
          <w:pPr>
            <w:pStyle w:val="stBilgi"/>
            <w:tabs>
              <w:tab w:val="left" w:pos="1309"/>
              <w:tab w:val="left" w:pos="7938"/>
              <w:tab w:val="left" w:pos="8931"/>
              <w:tab w:val="right" w:pos="9639"/>
            </w:tabs>
            <w:rPr>
              <w:rFonts w:ascii="Verdana" w:hAnsi="Verdana" w:cs="Verdana"/>
              <w:sz w:val="18"/>
            </w:rPr>
          </w:pPr>
          <w:proofErr w:type="spellStart"/>
          <w:proofErr w:type="gramStart"/>
          <w:r>
            <w:rPr>
              <w:rFonts w:ascii="Verdana" w:hAnsi="Verdana" w:cs="Verdana"/>
              <w:sz w:val="18"/>
            </w:rPr>
            <w:t>Página</w:t>
          </w:r>
          <w:proofErr w:type="spellEnd"/>
          <w:r>
            <w:rPr>
              <w:rFonts w:ascii="Verdana" w:hAnsi="Verdana" w:cs="Verdana"/>
              <w:sz w:val="18"/>
            </w:rPr>
            <w:t xml:space="preserve"> :</w:t>
          </w:r>
          <w:proofErr w:type="gramEnd"/>
          <w:r>
            <w:rPr>
              <w:rFonts w:ascii="Verdana" w:hAnsi="Verdana" w:cs="Verdana"/>
              <w:sz w:val="18"/>
              <w:lang w:val="tr-TR"/>
            </w:rPr>
            <w:fldChar w:fldCharType="begin"/>
          </w:r>
          <w:r>
            <w:rPr>
              <w:rFonts w:ascii="Verdana" w:hAnsi="Verdana" w:cs="Verdana"/>
              <w:sz w:val="18"/>
              <w:lang w:val="tr-TR"/>
            </w:rPr>
            <w:instrText>PAGE \* ARABIC</w:instrText>
          </w:r>
          <w:r>
            <w:rPr>
              <w:rFonts w:ascii="Verdana" w:hAnsi="Verdana" w:cs="Verdana"/>
              <w:sz w:val="18"/>
              <w:lang w:val="tr-TR"/>
            </w:rPr>
            <w:fldChar w:fldCharType="separate"/>
          </w:r>
          <w:r>
            <w:rPr>
              <w:rFonts w:ascii="Verdana" w:hAnsi="Verdana" w:cs="Verdana"/>
              <w:sz w:val="18"/>
              <w:lang w:val="tr-TR"/>
            </w:rPr>
            <w:t>10</w:t>
          </w:r>
          <w:r>
            <w:rPr>
              <w:rFonts w:ascii="Verdana" w:hAnsi="Verdana" w:cs="Verdana"/>
              <w:sz w:val="18"/>
              <w:lang w:val="tr-TR"/>
            </w:rPr>
            <w:fldChar w:fldCharType="end"/>
          </w:r>
          <w:r>
            <w:rPr>
              <w:rFonts w:ascii="Verdana" w:hAnsi="Verdana" w:cs="Verdana"/>
              <w:sz w:val="18"/>
              <w:lang w:val="tr-TR"/>
            </w:rPr>
            <w:t>/</w:t>
          </w:r>
          <w:r>
            <w:rPr>
              <w:rFonts w:ascii="Verdana" w:hAnsi="Verdana" w:cs="Verdana"/>
              <w:sz w:val="18"/>
              <w:lang w:val="tr-TR"/>
            </w:rPr>
            <w:fldChar w:fldCharType="begin"/>
          </w:r>
          <w:r>
            <w:rPr>
              <w:rFonts w:ascii="Verdana" w:hAnsi="Verdana" w:cs="Verdana"/>
              <w:sz w:val="18"/>
              <w:lang w:val="tr-TR"/>
            </w:rPr>
            <w:instrText>NUMPAGES \* ARABIC</w:instrText>
          </w:r>
          <w:r>
            <w:rPr>
              <w:rFonts w:ascii="Verdana" w:hAnsi="Verdana" w:cs="Verdana"/>
              <w:sz w:val="18"/>
              <w:lang w:val="tr-TR"/>
            </w:rPr>
            <w:fldChar w:fldCharType="separate"/>
          </w:r>
          <w:r>
            <w:rPr>
              <w:rFonts w:ascii="Verdana" w:hAnsi="Verdana" w:cs="Verdana"/>
              <w:sz w:val="18"/>
              <w:lang w:val="tr-TR"/>
            </w:rPr>
            <w:t>10</w:t>
          </w:r>
          <w:r>
            <w:rPr>
              <w:rFonts w:ascii="Verdana" w:hAnsi="Verdana" w:cs="Verdana"/>
              <w:sz w:val="18"/>
              <w:lang w:val="tr-TR"/>
            </w:rPr>
            <w:fldChar w:fldCharType="end"/>
          </w:r>
        </w:p>
      </w:tc>
    </w:tr>
    <w:tr w:rsidR="00432E43" w14:paraId="688D0CE7" w14:textId="77777777">
      <w:trPr>
        <w:trHeight w:val="461"/>
      </w:trPr>
      <w:tc>
        <w:tcPr>
          <w:tcW w:w="2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113DD6" w14:textId="77777777" w:rsidR="00432E43" w:rsidRDefault="00432E43">
          <w:pPr>
            <w:pStyle w:val="stBilgi"/>
            <w:snapToGrid w:val="0"/>
            <w:jc w:val="center"/>
            <w:rPr>
              <w:rFonts w:ascii="Verdana" w:hAnsi="Verdana" w:cs="Verdana"/>
              <w:sz w:val="18"/>
              <w:lang w:val="tr-TR" w:eastAsia="en-US"/>
            </w:rPr>
          </w:pPr>
        </w:p>
      </w:tc>
      <w:tc>
        <w:tcPr>
          <w:tcW w:w="45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7E291C" w14:textId="77777777" w:rsidR="00432E43" w:rsidRDefault="00432E43">
          <w:pPr>
            <w:pStyle w:val="stBilgi"/>
            <w:snapToGrid w:val="0"/>
            <w:jc w:val="center"/>
            <w:rPr>
              <w:rFonts w:ascii="Verdana" w:hAnsi="Verdana" w:cs="Verdana"/>
              <w:b/>
              <w:sz w:val="28"/>
              <w:lang w:val="tr-TR" w:eastAsia="en-US"/>
            </w:rPr>
          </w:pP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FC065E" w14:textId="77777777" w:rsidR="00432E43" w:rsidRDefault="00000000">
          <w:pPr>
            <w:pStyle w:val="stBilgi"/>
            <w:tabs>
              <w:tab w:val="left" w:pos="1309"/>
              <w:tab w:val="left" w:pos="7938"/>
              <w:tab w:val="left" w:pos="8931"/>
              <w:tab w:val="right" w:pos="9639"/>
            </w:tabs>
            <w:rPr>
              <w:rFonts w:ascii="Verdana" w:hAnsi="Verdana" w:cs="Verdana"/>
              <w:sz w:val="18"/>
            </w:rPr>
          </w:pPr>
          <w:proofErr w:type="spellStart"/>
          <w:proofErr w:type="gramStart"/>
          <w:r>
            <w:rPr>
              <w:rFonts w:ascii="Verdana" w:hAnsi="Verdana" w:cs="Verdana"/>
              <w:sz w:val="18"/>
            </w:rPr>
            <w:t>Fecha</w:t>
          </w:r>
          <w:proofErr w:type="spellEnd"/>
          <w:r>
            <w:rPr>
              <w:rFonts w:ascii="Verdana" w:hAnsi="Verdana" w:cs="Verdana"/>
              <w:sz w:val="18"/>
            </w:rPr>
            <w:t xml:space="preserve"> :</w:t>
          </w:r>
          <w:proofErr w:type="gramEnd"/>
          <w:r>
            <w:rPr>
              <w:rFonts w:ascii="Verdana" w:hAnsi="Verdana" w:cs="Verdana"/>
              <w:sz w:val="18"/>
            </w:rPr>
            <w:t xml:space="preserve"> 03.03.2022</w:t>
          </w:r>
        </w:p>
      </w:tc>
    </w:tr>
    <w:tr w:rsidR="00432E43" w14:paraId="517AC51E" w14:textId="77777777">
      <w:trPr>
        <w:trHeight w:val="461"/>
      </w:trPr>
      <w:tc>
        <w:tcPr>
          <w:tcW w:w="2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34E212" w14:textId="77777777" w:rsidR="00432E43" w:rsidRDefault="00432E43">
          <w:pPr>
            <w:pStyle w:val="stBilgi"/>
            <w:snapToGrid w:val="0"/>
            <w:jc w:val="center"/>
            <w:rPr>
              <w:rFonts w:ascii="Verdana" w:hAnsi="Verdana" w:cs="Verdana"/>
              <w:sz w:val="18"/>
              <w:lang w:val="tr-TR" w:eastAsia="en-US"/>
            </w:rPr>
          </w:pPr>
        </w:p>
      </w:tc>
      <w:tc>
        <w:tcPr>
          <w:tcW w:w="45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D19273" w14:textId="77777777" w:rsidR="00432E43" w:rsidRDefault="00432E43">
          <w:pPr>
            <w:pStyle w:val="stBilgi"/>
            <w:snapToGrid w:val="0"/>
            <w:jc w:val="center"/>
            <w:rPr>
              <w:rFonts w:ascii="Verdana" w:hAnsi="Verdana" w:cs="Verdana"/>
              <w:b/>
              <w:sz w:val="28"/>
              <w:lang w:val="tr-TR" w:eastAsia="en-US"/>
            </w:rPr>
          </w:pP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EC0B50" w14:textId="77777777" w:rsidR="00432E43" w:rsidRDefault="00000000">
          <w:pPr>
            <w:pStyle w:val="stBilgi"/>
            <w:rPr>
              <w:rFonts w:ascii="Verdana" w:hAnsi="Verdana" w:cs="Verdana"/>
              <w:sz w:val="18"/>
            </w:rPr>
          </w:pPr>
          <w:proofErr w:type="spellStart"/>
          <w:r>
            <w:rPr>
              <w:rFonts w:ascii="Verdana" w:hAnsi="Verdana" w:cs="Verdana"/>
              <w:sz w:val="18"/>
            </w:rPr>
            <w:t>Revisión</w:t>
          </w:r>
          <w:proofErr w:type="spellEnd"/>
          <w:r>
            <w:rPr>
              <w:rFonts w:ascii="Verdana" w:hAnsi="Verdana" w:cs="Verdana"/>
              <w:sz w:val="18"/>
            </w:rPr>
            <w:t>: 0</w:t>
          </w:r>
        </w:p>
      </w:tc>
    </w:tr>
  </w:tbl>
  <w:p w14:paraId="6DE8ED8E" w14:textId="77777777" w:rsidR="00432E43" w:rsidRDefault="00432E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C64"/>
    <w:multiLevelType w:val="multilevel"/>
    <w:tmpl w:val="0FF447AE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438D4"/>
    <w:multiLevelType w:val="multilevel"/>
    <w:tmpl w:val="AF6AFFCE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B7835"/>
    <w:multiLevelType w:val="multilevel"/>
    <w:tmpl w:val="B27001D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923E9"/>
    <w:multiLevelType w:val="multilevel"/>
    <w:tmpl w:val="D570B09C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16743"/>
    <w:multiLevelType w:val="multilevel"/>
    <w:tmpl w:val="6F14CAFC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957B30"/>
    <w:multiLevelType w:val="multilevel"/>
    <w:tmpl w:val="87EE47D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6F77CF"/>
    <w:multiLevelType w:val="multilevel"/>
    <w:tmpl w:val="078ABE0E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A66CB8"/>
    <w:multiLevelType w:val="multilevel"/>
    <w:tmpl w:val="3E00EFEC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95121"/>
    <w:multiLevelType w:val="multilevel"/>
    <w:tmpl w:val="34F29C5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EA2F07"/>
    <w:multiLevelType w:val="multilevel"/>
    <w:tmpl w:val="C1D475F0"/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EF1BCA"/>
    <w:multiLevelType w:val="multilevel"/>
    <w:tmpl w:val="BA12C15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5E118A"/>
    <w:multiLevelType w:val="multilevel"/>
    <w:tmpl w:val="10247190"/>
    <w:lvl w:ilvl="0">
      <w:start w:val="1"/>
      <w:numFmt w:val="bullet"/>
      <w:lvlText w:val=""/>
      <w:lvlJc w:val="left"/>
      <w:pPr>
        <w:tabs>
          <w:tab w:val="num" w:pos="0"/>
        </w:tabs>
        <w:ind w:left="1151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4E7343"/>
    <w:multiLevelType w:val="multilevel"/>
    <w:tmpl w:val="39F8289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91F3CA8"/>
    <w:multiLevelType w:val="multilevel"/>
    <w:tmpl w:val="67B61D9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175E3"/>
    <w:multiLevelType w:val="multilevel"/>
    <w:tmpl w:val="D444B232"/>
    <w:lvl w:ilvl="0">
      <w:start w:val="1"/>
      <w:numFmt w:val="bullet"/>
      <w:lvlText w:val=""/>
      <w:lvlJc w:val="left"/>
      <w:pPr>
        <w:tabs>
          <w:tab w:val="num" w:pos="0"/>
        </w:tabs>
        <w:ind w:left="1151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534CCC"/>
    <w:multiLevelType w:val="multilevel"/>
    <w:tmpl w:val="FD26459A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C40AF6"/>
    <w:multiLevelType w:val="multilevel"/>
    <w:tmpl w:val="4C1C490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842855"/>
    <w:multiLevelType w:val="multilevel"/>
    <w:tmpl w:val="167014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5420E0"/>
    <w:multiLevelType w:val="multilevel"/>
    <w:tmpl w:val="E10AE30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0C54E5"/>
    <w:multiLevelType w:val="multilevel"/>
    <w:tmpl w:val="4300E2E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0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1788537">
    <w:abstractNumId w:val="12"/>
  </w:num>
  <w:num w:numId="2" w16cid:durableId="1766345812">
    <w:abstractNumId w:val="7"/>
  </w:num>
  <w:num w:numId="3" w16cid:durableId="847601445">
    <w:abstractNumId w:val="8"/>
  </w:num>
  <w:num w:numId="4" w16cid:durableId="971062866">
    <w:abstractNumId w:val="15"/>
  </w:num>
  <w:num w:numId="5" w16cid:durableId="871309012">
    <w:abstractNumId w:val="1"/>
  </w:num>
  <w:num w:numId="6" w16cid:durableId="380443382">
    <w:abstractNumId w:val="13"/>
  </w:num>
  <w:num w:numId="7" w16cid:durableId="2051764678">
    <w:abstractNumId w:val="14"/>
  </w:num>
  <w:num w:numId="8" w16cid:durableId="465205127">
    <w:abstractNumId w:val="19"/>
  </w:num>
  <w:num w:numId="9" w16cid:durableId="99685066">
    <w:abstractNumId w:val="2"/>
  </w:num>
  <w:num w:numId="10" w16cid:durableId="2020698104">
    <w:abstractNumId w:val="18"/>
  </w:num>
  <w:num w:numId="11" w16cid:durableId="1798252238">
    <w:abstractNumId w:val="3"/>
  </w:num>
  <w:num w:numId="12" w16cid:durableId="1714311322">
    <w:abstractNumId w:val="5"/>
  </w:num>
  <w:num w:numId="13" w16cid:durableId="967974348">
    <w:abstractNumId w:val="6"/>
  </w:num>
  <w:num w:numId="14" w16cid:durableId="1029644894">
    <w:abstractNumId w:val="11"/>
  </w:num>
  <w:num w:numId="15" w16cid:durableId="2033067901">
    <w:abstractNumId w:val="4"/>
  </w:num>
  <w:num w:numId="16" w16cid:durableId="1969161081">
    <w:abstractNumId w:val="0"/>
  </w:num>
  <w:num w:numId="17" w16cid:durableId="1523864236">
    <w:abstractNumId w:val="10"/>
  </w:num>
  <w:num w:numId="18" w16cid:durableId="904996316">
    <w:abstractNumId w:val="9"/>
  </w:num>
  <w:num w:numId="19" w16cid:durableId="1706902860">
    <w:abstractNumId w:val="16"/>
  </w:num>
  <w:num w:numId="20" w16cid:durableId="20974374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43"/>
    <w:rsid w:val="00432E43"/>
    <w:rsid w:val="00692AE2"/>
    <w:rsid w:val="00904E33"/>
    <w:rsid w:val="00B9700D"/>
    <w:rsid w:val="00D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9D8"/>
  <w15:docId w15:val="{216D0D88-F14F-40E2-9D6E-B079E2C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Verdana" w:hAnsi="Verdana" w:cs="Verdana"/>
      <w:b/>
      <w:sz w:val="24"/>
      <w:lang w:val="tr-TR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 w:cs="Verdana"/>
      <w:b/>
      <w:sz w:val="22"/>
      <w:lang w:val="tr-TR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0"/>
      <w:lang w:val="tr-T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  <w:sz w:val="20"/>
      <w:lang w:val="tr-T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b/>
      <w:sz w:val="20"/>
      <w:szCs w:val="20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color w:val="000000"/>
      <w:sz w:val="20"/>
      <w:lang w:val="tr-T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Verdana" w:eastAsia="Times New Roman" w:hAnsi="Verdana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  <w:lang w:val="tr-TR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color w:val="000000"/>
      <w:sz w:val="20"/>
      <w:lang w:val="tr-TR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color w:val="000000"/>
      <w:sz w:val="20"/>
      <w:lang w:val="tr-TR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Verdana" w:eastAsia="Times New Roman" w:hAnsi="Verdana" w:cs="Times New Roman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  <w:color w:val="000000"/>
      <w:sz w:val="20"/>
      <w:lang w:val="tr-TR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  <w:sz w:val="20"/>
      <w:lang w:val="tr-TR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lang w:val="tr-TR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color w:val="000000"/>
      <w:sz w:val="20"/>
      <w:lang w:val="tr-TR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color w:val="000000"/>
      <w:sz w:val="20"/>
      <w:lang w:val="tr-TR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Symbol" w:hAnsi="Symbol" w:cs="Symbol"/>
      <w:color w:val="000000"/>
      <w:sz w:val="20"/>
      <w:lang w:val="tr-TR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Wingdings" w:hAnsi="Wingdings" w:cs="Wingdings"/>
      <w:color w:val="000000"/>
      <w:sz w:val="20"/>
      <w:lang w:val="tr-TR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  <w:lang w:val="tr-TR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color w:val="000000"/>
      <w:sz w:val="20"/>
      <w:lang w:val="tr-TR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  <w:lang w:val="tr-TR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sz w:val="22"/>
      <w:szCs w:val="22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Verdana" w:eastAsia="Times New Roman" w:hAnsi="Verdana" w:cs="Times New Roman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4">
    <w:name w:val="WW8Num45z4"/>
    <w:qFormat/>
    <w:rPr>
      <w:rFonts w:ascii="Courier New" w:hAnsi="Courier New" w:cs="Courier New"/>
    </w:rPr>
  </w:style>
  <w:style w:type="character" w:customStyle="1" w:styleId="WW8Num46z0">
    <w:name w:val="WW8Num46z0"/>
    <w:qFormat/>
    <w:rPr>
      <w:rFonts w:ascii="Wingdings" w:hAnsi="Wingdings" w:cs="Wingdings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  <w:color w:val="000000"/>
      <w:sz w:val="20"/>
      <w:lang w:val="tr-TR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styleId="SayfaNumaras">
    <w:name w:val="page number"/>
    <w:rPr>
      <w:sz w:val="20"/>
    </w:rPr>
  </w:style>
  <w:style w:type="character" w:customStyle="1" w:styleId="GvdeMetniChar">
    <w:name w:val="Gövde Metni Char"/>
    <w:qFormat/>
    <w:rPr>
      <w:rFonts w:ascii="Tms Rmn" w:hAnsi="Tms Rmn" w:cs="Tms Rmn"/>
      <w:color w:val="000000"/>
      <w:sz w:val="24"/>
      <w:lang w:val="en-GB"/>
    </w:rPr>
  </w:style>
  <w:style w:type="character" w:customStyle="1" w:styleId="BalonMetniChar">
    <w:name w:val="Balon Metni Char"/>
    <w:qFormat/>
    <w:rPr>
      <w:rFonts w:ascii="Tahoma" w:hAnsi="Tahoma" w:cs="Tahoma"/>
      <w:sz w:val="16"/>
      <w:szCs w:val="16"/>
      <w:lang w:val="en-GB"/>
    </w:rPr>
  </w:style>
  <w:style w:type="character" w:customStyle="1" w:styleId="stbilgiChar">
    <w:name w:val="Üstbilgi Char"/>
    <w:qFormat/>
    <w:rPr>
      <w:lang w:val="en-US"/>
    </w:rPr>
  </w:style>
  <w:style w:type="character" w:styleId="Kpr">
    <w:name w:val="Hyperlink"/>
    <w:rPr>
      <w:color w:val="0000FF"/>
      <w:u w:val="single"/>
    </w:rPr>
  </w:style>
  <w:style w:type="character" w:customStyle="1" w:styleId="AltbilgiChar">
    <w:name w:val="Altbilgi Char"/>
    <w:qFormat/>
    <w:rPr>
      <w:lang w:val="en-US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before="144"/>
    </w:pPr>
    <w:rPr>
      <w:rFonts w:ascii="Tms Rmn" w:hAnsi="Tms Rmn" w:cs="Tms Rmn"/>
      <w:color w:val="000000"/>
      <w:sz w:val="24"/>
    </w:r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AltBilgi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GvdeMetniGirintisi">
    <w:name w:val="Body Text Indent"/>
    <w:basedOn w:val="Normal"/>
    <w:pPr>
      <w:spacing w:before="40"/>
      <w:ind w:left="709" w:hanging="425"/>
    </w:pPr>
    <w:rPr>
      <w:lang w:val="tr-TR"/>
    </w:rPr>
  </w:style>
  <w:style w:type="paragraph" w:styleId="GvdeMetniGirintisi2">
    <w:name w:val="Body Text Indent 2"/>
    <w:basedOn w:val="Normal"/>
    <w:qFormat/>
    <w:pPr>
      <w:spacing w:before="40"/>
      <w:ind w:left="709"/>
    </w:pPr>
    <w:rPr>
      <w:i/>
      <w:lang w:val="tr-TR"/>
    </w:rPr>
  </w:style>
  <w:style w:type="paragraph" w:styleId="T1">
    <w:name w:val="toc 1"/>
    <w:basedOn w:val="Normal"/>
    <w:next w:val="Normal"/>
  </w:style>
  <w:style w:type="paragraph" w:styleId="T2">
    <w:name w:val="toc 2"/>
    <w:basedOn w:val="Normal"/>
    <w:next w:val="Normal"/>
    <w:pPr>
      <w:ind w:left="200"/>
    </w:pPr>
  </w:style>
  <w:style w:type="paragraph" w:styleId="T3">
    <w:name w:val="toc 3"/>
    <w:basedOn w:val="Normal"/>
    <w:next w:val="Normal"/>
    <w:pPr>
      <w:ind w:left="400"/>
    </w:pPr>
  </w:style>
  <w:style w:type="paragraph" w:styleId="T4">
    <w:name w:val="toc 4"/>
    <w:basedOn w:val="Normal"/>
    <w:next w:val="Normal"/>
    <w:pPr>
      <w:ind w:left="600"/>
    </w:pPr>
  </w:style>
  <w:style w:type="paragraph" w:styleId="T5">
    <w:name w:val="toc 5"/>
    <w:basedOn w:val="Normal"/>
    <w:next w:val="Normal"/>
    <w:pPr>
      <w:ind w:left="800"/>
    </w:pPr>
  </w:style>
  <w:style w:type="paragraph" w:styleId="T6">
    <w:name w:val="toc 6"/>
    <w:basedOn w:val="Normal"/>
    <w:next w:val="Normal"/>
    <w:pPr>
      <w:ind w:left="1000"/>
    </w:pPr>
  </w:style>
  <w:style w:type="paragraph" w:styleId="T7">
    <w:name w:val="toc 7"/>
    <w:basedOn w:val="Normal"/>
    <w:next w:val="Normal"/>
    <w:pPr>
      <w:ind w:left="1200"/>
    </w:pPr>
  </w:style>
  <w:style w:type="paragraph" w:styleId="T8">
    <w:name w:val="toc 8"/>
    <w:basedOn w:val="Normal"/>
    <w:next w:val="Normal"/>
    <w:pPr>
      <w:ind w:left="1400"/>
    </w:pPr>
  </w:style>
  <w:style w:type="paragraph" w:styleId="T9">
    <w:name w:val="toc 9"/>
    <w:basedOn w:val="Normal"/>
    <w:next w:val="Normal"/>
    <w:pPr>
      <w:ind w:left="1600"/>
    </w:pPr>
  </w:style>
  <w:style w:type="paragraph" w:customStyle="1" w:styleId="KEKStyle">
    <w:name w:val="KEK Style"/>
    <w:basedOn w:val="Normal"/>
    <w:qFormat/>
    <w:pPr>
      <w:ind w:left="1134"/>
      <w:jc w:val="both"/>
    </w:pPr>
    <w:rPr>
      <w:sz w:val="24"/>
      <w:lang w:val="tr-TR"/>
    </w:rPr>
  </w:style>
  <w:style w:type="paragraph" w:styleId="ListeParagraf">
    <w:name w:val="List Paragraph"/>
    <w:basedOn w:val="Normal"/>
    <w:qFormat/>
    <w:pPr>
      <w:ind w:left="708"/>
    </w:pPr>
  </w:style>
  <w:style w:type="paragraph" w:customStyle="1" w:styleId="Default">
    <w:name w:val="Default"/>
    <w:qFormat/>
    <w:pPr>
      <w:widowControl w:val="0"/>
      <w:autoSpaceDE w:val="0"/>
    </w:pPr>
    <w:rPr>
      <w:rFonts w:ascii="Arial" w:eastAsia="Times New Roman" w:hAnsi="Arial" w:cs="Arial"/>
      <w:color w:val="000000"/>
      <w:lang w:val="tr-TR" w:bidi="ar-SA"/>
    </w:rPr>
  </w:style>
  <w:style w:type="paragraph" w:customStyle="1" w:styleId="msobodytextindent2">
    <w:name w:val="msobodytextindent2"/>
    <w:basedOn w:val="Normal"/>
    <w:qFormat/>
    <w:pPr>
      <w:spacing w:before="40"/>
      <w:ind w:left="709"/>
    </w:pPr>
    <w:rPr>
      <w:i/>
      <w:lang w:val="tr-TR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11">
    <w:name w:val="1.1."/>
    <w:basedOn w:val="Normal"/>
    <w:qFormat/>
    <w:pPr>
      <w:ind w:left="720" w:hanging="360"/>
    </w:pPr>
    <w:rPr>
      <w:rFonts w:ascii="Arial" w:hAnsi="Arial" w:cs="Arial"/>
      <w:sz w:val="22"/>
      <w:lang w:val="tr-TR"/>
    </w:rPr>
  </w:style>
  <w:style w:type="paragraph" w:styleId="TBal">
    <w:name w:val="TOC Heading"/>
    <w:basedOn w:val="Balk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color w:val="365F91"/>
      <w:sz w:val="28"/>
      <w:szCs w:val="2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3234</Words>
  <Characters>18437</Characters>
  <Application>Microsoft Office Word</Application>
  <DocSecurity>0</DocSecurity>
  <Lines>153</Lines>
  <Paragraphs>43</Paragraphs>
  <ScaleCrop>false</ScaleCrop>
  <Company/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Özgür Adıyaman</cp:lastModifiedBy>
  <cp:revision>4</cp:revision>
  <dcterms:created xsi:type="dcterms:W3CDTF">2023-02-22T07:57:00Z</dcterms:created>
  <dcterms:modified xsi:type="dcterms:W3CDTF">2023-02-22T08:00:00Z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2023-02-16T07:21:00Z</dcterms:created>
  <dc:creator>Özgür Berçin</dc:creator>
  <dc:description/>
  <cp:keywords> </cp:keywords>
  <dc:language>en-US</dc:language>
  <cp:lastModifiedBy>Microsoft hesabı</cp:lastModifiedBy>
  <cp:lastPrinted>2022-09-01T17:44:00Z</cp:lastPrinted>
  <dcterms:modified xsi:type="dcterms:W3CDTF">2023-02-21T07:16:00Z</dcterms:modified>
  <cp:revision>5</cp:revision>
  <dc:subject/>
  <dc:title>0. Kalite Güvence</dc:title>
</cp:coreProperties>
</file>